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9"/>
        <w:ind w:left="0" w:right="144" w:firstLine="0"/>
        <w:jc w:val="right"/>
        <w:rPr>
          <w:rFonts w:ascii="Arial"/>
          <w:b/>
          <w:sz w:val="15"/>
        </w:rPr>
      </w:pPr>
      <w:r>
        <w:rPr/>
        <w:drawing>
          <wp:anchor distT="0" distB="0" distL="0" distR="0" allowOverlap="1" layoutInCell="1" locked="0" behindDoc="0" simplePos="0" relativeHeight="1024">
            <wp:simplePos x="0" y="0"/>
            <wp:positionH relativeFrom="page">
              <wp:posOffset>467994</wp:posOffset>
            </wp:positionH>
            <wp:positionV relativeFrom="paragraph">
              <wp:posOffset>71690</wp:posOffset>
            </wp:positionV>
            <wp:extent cx="953769" cy="9537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53769" cy="953770"/>
                    </a:xfrm>
                    <a:prstGeom prst="rect">
                      <a:avLst/>
                    </a:prstGeom>
                  </pic:spPr>
                </pic:pic>
              </a:graphicData>
            </a:graphic>
          </wp:anchor>
        </w:drawing>
      </w:r>
      <w:r>
        <w:rPr>
          <w:rFonts w:ascii="Arial"/>
          <w:b/>
          <w:sz w:val="15"/>
        </w:rPr>
        <w:t>KTH Research</w:t>
      </w:r>
      <w:r>
        <w:rPr>
          <w:rFonts w:ascii="Arial"/>
          <w:b/>
          <w:spacing w:val="11"/>
          <w:sz w:val="15"/>
        </w:rPr>
        <w:t> </w:t>
      </w:r>
      <w:r>
        <w:rPr>
          <w:rFonts w:ascii="Arial"/>
          <w:b/>
          <w:sz w:val="15"/>
        </w:rPr>
        <w:t>Office</w:t>
      </w:r>
    </w:p>
    <w:p>
      <w:pPr>
        <w:spacing w:before="40"/>
        <w:ind w:left="0" w:right="177" w:firstLine="0"/>
        <w:jc w:val="right"/>
        <w:rPr>
          <w:rFonts w:ascii="Arial"/>
          <w:sz w:val="15"/>
        </w:rPr>
      </w:pPr>
      <w:r>
        <w:rPr>
          <w:rFonts w:ascii="Arial"/>
          <w:spacing w:val="-1"/>
          <w:sz w:val="15"/>
        </w:rPr>
        <w:t>2018-09-07</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Heading1"/>
        <w:spacing w:before="210"/>
      </w:pPr>
      <w:r>
        <w:rPr/>
        <w:t>Selection of tips to succeed in ERC Starting- or Consolidator Grant</w:t>
      </w:r>
    </w:p>
    <w:p>
      <w:pPr>
        <w:spacing w:before="15"/>
        <w:ind w:left="854" w:right="0" w:firstLine="0"/>
        <w:jc w:val="left"/>
        <w:rPr>
          <w:rFonts w:ascii="Arial"/>
          <w:b/>
          <w:sz w:val="28"/>
        </w:rPr>
      </w:pPr>
      <w:r>
        <w:rPr>
          <w:rFonts w:ascii="Arial"/>
          <w:b/>
          <w:sz w:val="28"/>
        </w:rPr>
        <w:t>2019</w:t>
      </w:r>
    </w:p>
    <w:p>
      <w:pPr>
        <w:pStyle w:val="BodyText"/>
        <w:spacing w:line="276" w:lineRule="auto" w:before="251"/>
        <w:ind w:left="854" w:right="372"/>
      </w:pPr>
      <w:r>
        <w:rPr/>
        <w:t>ERC funding schemes are open to top researchers of any nationality or age who wish to carry out their frontier research in the 28 EU Member States or associated countries.</w:t>
      </w:r>
    </w:p>
    <w:p>
      <w:pPr>
        <w:pStyle w:val="BodyText"/>
        <w:spacing w:before="4"/>
        <w:rPr>
          <w:sz w:val="25"/>
        </w:rPr>
      </w:pPr>
    </w:p>
    <w:p>
      <w:pPr>
        <w:pStyle w:val="BodyText"/>
        <w:spacing w:line="276" w:lineRule="auto" w:before="1"/>
        <w:ind w:left="854" w:right="100"/>
        <w:jc w:val="both"/>
      </w:pPr>
      <w:r>
        <w:rPr/>
        <w:t>Writing an ERC proposal is very challenging so please consider the odds and the effort to be invested.  The  nature  and  requirements  of  the  ERC  demand  a  good  time  planning, logical strategy and concept crystallization. Secure that your research  concept  and  scope meet the criteria in the latest </w:t>
      </w:r>
      <w:hyperlink r:id="rId7">
        <w:r>
          <w:rPr>
            <w:color w:val="0000FF"/>
            <w:u w:val="single" w:color="0000FF"/>
          </w:rPr>
          <w:t>ERC work programme</w:t>
        </w:r>
      </w:hyperlink>
      <w:r>
        <w:rPr>
          <w:color w:val="0000FF"/>
        </w:rPr>
        <w:t>  </w:t>
      </w:r>
      <w:r>
        <w:rPr>
          <w:b/>
        </w:rPr>
        <w:t>before  </w:t>
      </w:r>
      <w:r>
        <w:rPr/>
        <w:t>drafting  the  proposal.  Be  aware that the re-submission rules are very strict and might i.a. lead to  ERC  personal blocking of one or even two deadlines (years). Moreover, choose the proper funding </w:t>
      </w:r>
      <w:hyperlink r:id="rId8">
        <w:r>
          <w:rPr/>
          <w:t>scheme</w:t>
        </w:r>
      </w:hyperlink>
      <w:r>
        <w:rPr/>
        <w:t> </w:t>
      </w:r>
      <w:hyperlink r:id="rId8">
        <w:r>
          <w:rPr/>
          <w:t>and check</w:t>
        </w:r>
      </w:hyperlink>
      <w:r>
        <w:rPr/>
        <w:t> the eligibility criteria  accordingly  -  see  the  </w:t>
      </w:r>
      <w:hyperlink r:id="rId9">
        <w:r>
          <w:rPr>
            <w:color w:val="0000FF"/>
            <w:u w:val="single" w:color="0000FF"/>
          </w:rPr>
          <w:t>ERC-homepage</w:t>
        </w:r>
      </w:hyperlink>
      <w:r>
        <w:rPr>
          <w:color w:val="0000FF"/>
        </w:rPr>
        <w:t>  </w:t>
      </w:r>
      <w:r>
        <w:rPr/>
        <w:t>for  details.  The   ERC  publishes   </w:t>
      </w:r>
      <w:hyperlink r:id="rId10">
        <w:r>
          <w:rPr>
            <w:i/>
            <w:color w:val="0000FF"/>
          </w:rPr>
          <w:t>Guide   for Applicants</w:t>
        </w:r>
      </w:hyperlink>
      <w:r>
        <w:rPr>
          <w:i/>
          <w:color w:val="0000FF"/>
        </w:rPr>
        <w:t>   </w:t>
      </w:r>
      <w:r>
        <w:rPr/>
        <w:t>as  well  as  </w:t>
      </w:r>
      <w:r>
        <w:rPr>
          <w:i/>
          <w:color w:val="0000FF"/>
          <w:u w:val="single" w:color="0000FF"/>
        </w:rPr>
        <w:t>Guide  for  Peer  Reviewers</w:t>
      </w:r>
      <w:r>
        <w:rPr>
          <w:i/>
          <w:color w:val="0000FF"/>
        </w:rPr>
        <w:t>  </w:t>
      </w:r>
      <w:r>
        <w:rPr/>
        <w:t>and  both   are highly recommended to be studied</w:t>
      </w:r>
      <w:r>
        <w:rPr>
          <w:spacing w:val="-29"/>
        </w:rPr>
        <w:t> </w:t>
      </w:r>
      <w:r>
        <w:rPr/>
        <w:t>carefully.</w:t>
      </w:r>
    </w:p>
    <w:p>
      <w:pPr>
        <w:pStyle w:val="BodyText"/>
        <w:spacing w:before="2"/>
      </w:pPr>
    </w:p>
    <w:p>
      <w:pPr>
        <w:pStyle w:val="BodyText"/>
        <w:ind w:left="854"/>
      </w:pPr>
      <w:r>
        <w:rPr/>
        <w:t>Here are some principles of what might constitute a competitive ERC proposal:</w:t>
      </w:r>
    </w:p>
    <w:p>
      <w:pPr>
        <w:pStyle w:val="ListParagraph"/>
        <w:numPr>
          <w:ilvl w:val="0"/>
          <w:numId w:val="1"/>
        </w:numPr>
        <w:tabs>
          <w:tab w:pos="1641" w:val="left" w:leader="none"/>
          <w:tab w:pos="1642" w:val="left" w:leader="none"/>
        </w:tabs>
        <w:spacing w:line="276" w:lineRule="auto" w:before="50" w:after="0"/>
        <w:ind w:left="1641" w:right="176" w:hanging="361"/>
        <w:jc w:val="left"/>
        <w:rPr>
          <w:sz w:val="22"/>
        </w:rPr>
      </w:pPr>
      <w:r>
        <w:rPr>
          <w:sz w:val="22"/>
        </w:rPr>
        <w:t>ERC funding with its conceptual scientific high risk / high-gain, non-collaborative (except SyG), frontier  excellent  research  etc  is  unique.  It  also  means  that  most of your earlier written proposals </w:t>
      </w:r>
      <w:r>
        <w:rPr>
          <w:sz w:val="22"/>
          <w:u w:val="single"/>
        </w:rPr>
        <w:t>cannot</w:t>
      </w:r>
      <w:r>
        <w:rPr>
          <w:sz w:val="22"/>
        </w:rPr>
        <w:t> fit the ERC work</w:t>
      </w:r>
      <w:r>
        <w:rPr>
          <w:spacing w:val="-12"/>
          <w:sz w:val="22"/>
        </w:rPr>
        <w:t> </w:t>
      </w:r>
      <w:r>
        <w:rPr>
          <w:sz w:val="22"/>
        </w:rPr>
        <w:t>programme.</w:t>
      </w:r>
    </w:p>
    <w:p>
      <w:pPr>
        <w:pStyle w:val="ListParagraph"/>
        <w:numPr>
          <w:ilvl w:val="0"/>
          <w:numId w:val="1"/>
        </w:numPr>
        <w:tabs>
          <w:tab w:pos="1642" w:val="left" w:leader="none"/>
        </w:tabs>
        <w:spacing w:line="273" w:lineRule="auto" w:before="2" w:after="0"/>
        <w:ind w:left="1641" w:right="122" w:hanging="390"/>
        <w:jc w:val="both"/>
        <w:rPr>
          <w:sz w:val="22"/>
        </w:rPr>
      </w:pPr>
      <w:r>
        <w:rPr>
          <w:sz w:val="22"/>
        </w:rPr>
        <w:t>Your proposal should challenge current paradigm(s) in research and suggest a  frontier</w:t>
      </w:r>
      <w:r>
        <w:rPr>
          <w:spacing w:val="-1"/>
          <w:sz w:val="22"/>
        </w:rPr>
        <w:t> </w:t>
      </w:r>
      <w:r>
        <w:rPr>
          <w:sz w:val="22"/>
        </w:rPr>
        <w:t>solution.</w:t>
      </w:r>
    </w:p>
    <w:p>
      <w:pPr>
        <w:pStyle w:val="ListParagraph"/>
        <w:numPr>
          <w:ilvl w:val="0"/>
          <w:numId w:val="1"/>
        </w:numPr>
        <w:tabs>
          <w:tab w:pos="1642" w:val="left" w:leader="none"/>
        </w:tabs>
        <w:spacing w:line="276" w:lineRule="auto" w:before="4" w:after="0"/>
        <w:ind w:left="1641" w:right="125" w:hanging="388"/>
        <w:jc w:val="both"/>
        <w:rPr>
          <w:sz w:val="22"/>
        </w:rPr>
      </w:pPr>
      <w:r>
        <w:rPr>
          <w:sz w:val="22"/>
        </w:rPr>
        <w:t>Be aware to mitigate some of the risk through, for example, a brief discussion of a backup-plan.</w:t>
      </w:r>
    </w:p>
    <w:p>
      <w:pPr>
        <w:pStyle w:val="ListParagraph"/>
        <w:numPr>
          <w:ilvl w:val="0"/>
          <w:numId w:val="1"/>
        </w:numPr>
        <w:tabs>
          <w:tab w:pos="1642" w:val="left" w:leader="none"/>
        </w:tabs>
        <w:spacing w:line="276" w:lineRule="auto" w:before="1" w:after="0"/>
        <w:ind w:left="1641" w:right="123" w:hanging="391"/>
        <w:jc w:val="both"/>
        <w:rPr>
          <w:sz w:val="22"/>
        </w:rPr>
      </w:pPr>
      <w:r>
        <w:rPr>
          <w:sz w:val="22"/>
        </w:rPr>
        <w:t>ERC’s panel structure essentially remains the same, covering all research topics, and the application format is modified only slightly from year to year. It means that you can start preparing your application at any time, the sooner the</w:t>
      </w:r>
      <w:r>
        <w:rPr>
          <w:spacing w:val="-14"/>
          <w:sz w:val="22"/>
        </w:rPr>
        <w:t> </w:t>
      </w:r>
      <w:r>
        <w:rPr>
          <w:sz w:val="22"/>
        </w:rPr>
        <w:t>better.</w:t>
      </w:r>
    </w:p>
    <w:p>
      <w:pPr>
        <w:pStyle w:val="ListParagraph"/>
        <w:numPr>
          <w:ilvl w:val="0"/>
          <w:numId w:val="1"/>
        </w:numPr>
        <w:tabs>
          <w:tab w:pos="1642" w:val="left" w:leader="none"/>
        </w:tabs>
        <w:spacing w:line="276" w:lineRule="auto" w:before="0" w:after="0"/>
        <w:ind w:left="1641" w:right="114" w:hanging="383"/>
        <w:jc w:val="both"/>
        <w:rPr>
          <w:sz w:val="22"/>
        </w:rPr>
      </w:pPr>
      <w:r>
        <w:rPr>
          <w:sz w:val="22"/>
        </w:rPr>
        <w:t>To avoid technical risks and time constraints, prepare the formal supporting letter early and register your proposal in advance since you have a possibility to upload, store and re-submit the documents/proposal in the Participation</w:t>
      </w:r>
      <w:r>
        <w:rPr>
          <w:spacing w:val="-9"/>
          <w:sz w:val="22"/>
        </w:rPr>
        <w:t> </w:t>
      </w:r>
      <w:r>
        <w:rPr>
          <w:sz w:val="22"/>
        </w:rPr>
        <w:t>Portal.</w:t>
      </w:r>
    </w:p>
    <w:p>
      <w:pPr>
        <w:pStyle w:val="ListParagraph"/>
        <w:numPr>
          <w:ilvl w:val="0"/>
          <w:numId w:val="1"/>
        </w:numPr>
        <w:tabs>
          <w:tab w:pos="1641" w:val="left" w:leader="none"/>
          <w:tab w:pos="1642" w:val="left" w:leader="none"/>
        </w:tabs>
        <w:spacing w:line="249" w:lineRule="exact" w:before="0" w:after="0"/>
        <w:ind w:left="1641" w:right="0" w:hanging="391"/>
        <w:jc w:val="left"/>
        <w:rPr>
          <w:sz w:val="22"/>
        </w:rPr>
      </w:pPr>
      <w:r>
        <w:rPr>
          <w:sz w:val="22"/>
        </w:rPr>
        <w:t>As many other high quality proposals, you need to clearly explain the</w:t>
      </w:r>
      <w:r>
        <w:rPr>
          <w:spacing w:val="-14"/>
          <w:sz w:val="22"/>
        </w:rPr>
        <w:t> </w:t>
      </w:r>
      <w:r>
        <w:rPr>
          <w:sz w:val="22"/>
        </w:rPr>
        <w:t>following:</w:t>
      </w:r>
    </w:p>
    <w:p>
      <w:pPr>
        <w:pStyle w:val="ListParagraph"/>
        <w:numPr>
          <w:ilvl w:val="1"/>
          <w:numId w:val="1"/>
        </w:numPr>
        <w:tabs>
          <w:tab w:pos="1933" w:val="left" w:leader="none"/>
          <w:tab w:pos="1934" w:val="left" w:leader="none"/>
        </w:tabs>
        <w:spacing w:line="240" w:lineRule="auto" w:before="39" w:after="0"/>
        <w:ind w:left="1934" w:right="0" w:hanging="360"/>
        <w:jc w:val="left"/>
        <w:rPr>
          <w:sz w:val="22"/>
        </w:rPr>
      </w:pPr>
      <w:r>
        <w:rPr>
          <w:sz w:val="22"/>
        </w:rPr>
        <w:t>Why</w:t>
      </w:r>
      <w:r>
        <w:rPr>
          <w:spacing w:val="-1"/>
          <w:sz w:val="22"/>
        </w:rPr>
        <w:t> </w:t>
      </w:r>
      <w:r>
        <w:rPr>
          <w:sz w:val="22"/>
        </w:rPr>
        <w:t>you?</w:t>
      </w:r>
    </w:p>
    <w:p>
      <w:pPr>
        <w:pStyle w:val="ListParagraph"/>
        <w:numPr>
          <w:ilvl w:val="1"/>
          <w:numId w:val="1"/>
        </w:numPr>
        <w:tabs>
          <w:tab w:pos="1933" w:val="left" w:leader="none"/>
          <w:tab w:pos="1934" w:val="left" w:leader="none"/>
        </w:tabs>
        <w:spacing w:line="240" w:lineRule="auto" w:before="27" w:after="0"/>
        <w:ind w:left="1934" w:right="0" w:hanging="360"/>
        <w:jc w:val="left"/>
        <w:rPr>
          <w:sz w:val="22"/>
        </w:rPr>
      </w:pPr>
      <w:r>
        <w:rPr>
          <w:sz w:val="22"/>
        </w:rPr>
        <w:t>Why</w:t>
      </w:r>
      <w:r>
        <w:rPr>
          <w:spacing w:val="-1"/>
          <w:sz w:val="22"/>
        </w:rPr>
        <w:t> </w:t>
      </w:r>
      <w:r>
        <w:rPr>
          <w:sz w:val="22"/>
        </w:rPr>
        <w:t>now?</w:t>
      </w:r>
    </w:p>
    <w:p>
      <w:pPr>
        <w:pStyle w:val="ListParagraph"/>
        <w:numPr>
          <w:ilvl w:val="1"/>
          <w:numId w:val="1"/>
        </w:numPr>
        <w:tabs>
          <w:tab w:pos="1933" w:val="left" w:leader="none"/>
          <w:tab w:pos="1934" w:val="left" w:leader="none"/>
        </w:tabs>
        <w:spacing w:line="240" w:lineRule="auto" w:before="26" w:after="0"/>
        <w:ind w:left="1934" w:right="0" w:hanging="360"/>
        <w:jc w:val="left"/>
        <w:rPr>
          <w:sz w:val="22"/>
        </w:rPr>
      </w:pPr>
      <w:r>
        <w:rPr>
          <w:sz w:val="22"/>
        </w:rPr>
        <w:t>Why this</w:t>
      </w:r>
      <w:r>
        <w:rPr>
          <w:spacing w:val="-5"/>
          <w:sz w:val="22"/>
        </w:rPr>
        <w:t> </w:t>
      </w:r>
      <w:r>
        <w:rPr>
          <w:sz w:val="22"/>
        </w:rPr>
        <w:t>project?</w:t>
      </w:r>
    </w:p>
    <w:p>
      <w:pPr>
        <w:pStyle w:val="ListParagraph"/>
        <w:numPr>
          <w:ilvl w:val="0"/>
          <w:numId w:val="1"/>
        </w:numPr>
        <w:tabs>
          <w:tab w:pos="1641" w:val="left" w:leader="none"/>
          <w:tab w:pos="1642" w:val="left" w:leader="none"/>
        </w:tabs>
        <w:spacing w:line="240" w:lineRule="auto" w:before="26" w:after="0"/>
        <w:ind w:left="1641" w:right="0" w:hanging="377"/>
        <w:jc w:val="left"/>
        <w:rPr>
          <w:sz w:val="22"/>
        </w:rPr>
      </w:pPr>
      <w:r>
        <w:rPr>
          <w:sz w:val="22"/>
        </w:rPr>
        <w:t>Choose a clear and comprehensible title and</w:t>
      </w:r>
      <w:r>
        <w:rPr>
          <w:spacing w:val="-5"/>
          <w:sz w:val="22"/>
        </w:rPr>
        <w:t> </w:t>
      </w:r>
      <w:r>
        <w:rPr>
          <w:sz w:val="22"/>
        </w:rPr>
        <w:t>abstract.</w:t>
      </w:r>
    </w:p>
    <w:p>
      <w:pPr>
        <w:pStyle w:val="ListParagraph"/>
        <w:numPr>
          <w:ilvl w:val="0"/>
          <w:numId w:val="1"/>
        </w:numPr>
        <w:tabs>
          <w:tab w:pos="1641" w:val="left" w:leader="none"/>
          <w:tab w:pos="1642" w:val="left" w:leader="none"/>
        </w:tabs>
        <w:spacing w:line="240" w:lineRule="auto" w:before="38" w:after="0"/>
        <w:ind w:left="1641" w:right="0" w:hanging="398"/>
        <w:jc w:val="left"/>
        <w:rPr>
          <w:sz w:val="22"/>
        </w:rPr>
      </w:pPr>
      <w:r>
        <w:rPr>
          <w:sz w:val="22"/>
        </w:rPr>
        <w:t>Put no claims that cannot be verified</w:t>
      </w:r>
      <w:r>
        <w:rPr>
          <w:spacing w:val="-2"/>
          <w:sz w:val="22"/>
        </w:rPr>
        <w:t> </w:t>
      </w:r>
      <w:r>
        <w:rPr>
          <w:sz w:val="22"/>
        </w:rPr>
        <w:t>independently.</w:t>
      </w:r>
    </w:p>
    <w:p>
      <w:pPr>
        <w:pStyle w:val="ListParagraph"/>
        <w:numPr>
          <w:ilvl w:val="0"/>
          <w:numId w:val="1"/>
        </w:numPr>
        <w:tabs>
          <w:tab w:pos="1642" w:val="left" w:leader="none"/>
        </w:tabs>
        <w:spacing w:line="276" w:lineRule="auto" w:before="38" w:after="0"/>
        <w:ind w:left="1641" w:right="114" w:hanging="391"/>
        <w:jc w:val="both"/>
        <w:rPr>
          <w:sz w:val="22"/>
        </w:rPr>
      </w:pPr>
      <w:r>
        <w:rPr>
          <w:sz w:val="22"/>
        </w:rPr>
        <w:t>ERC’s peer reviewers can be from anywhere in the world. Therefore bear in mind both, the current status of research internationally and writing your proposal in a clear manner. Moreover, the proposal in general must be easy to read (clearly identified aims and hypotheses, structured text using subheadings and bullets, tables and diagrams in black and white etc) and without</w:t>
      </w:r>
      <w:r>
        <w:rPr>
          <w:spacing w:val="-11"/>
          <w:sz w:val="22"/>
        </w:rPr>
        <w:t> </w:t>
      </w:r>
      <w:r>
        <w:rPr>
          <w:sz w:val="22"/>
        </w:rPr>
        <w:t>buzzwords.</w:t>
      </w:r>
    </w:p>
    <w:p>
      <w:pPr>
        <w:spacing w:after="0" w:line="276" w:lineRule="auto"/>
        <w:jc w:val="both"/>
        <w:rPr>
          <w:sz w:val="22"/>
        </w:rPr>
        <w:sectPr>
          <w:footerReference w:type="default" r:id="rId5"/>
          <w:type w:val="continuous"/>
          <w:pgSz w:w="11910" w:h="16840"/>
          <w:pgMar w:footer="787" w:top="580" w:bottom="980" w:left="620" w:right="1160"/>
          <w:pgNumType w:start="1"/>
        </w:sectPr>
      </w:pPr>
    </w:p>
    <w:p>
      <w:pPr>
        <w:pStyle w:val="BodyText"/>
        <w:rPr>
          <w:sz w:val="20"/>
        </w:rPr>
      </w:pPr>
    </w:p>
    <w:p>
      <w:pPr>
        <w:pStyle w:val="BodyText"/>
        <w:rPr>
          <w:sz w:val="20"/>
        </w:rPr>
      </w:pPr>
    </w:p>
    <w:p>
      <w:pPr>
        <w:pStyle w:val="BodyText"/>
        <w:spacing w:before="9"/>
        <w:rPr>
          <w:sz w:val="19"/>
        </w:rPr>
      </w:pPr>
    </w:p>
    <w:p>
      <w:pPr>
        <w:pStyle w:val="ListParagraph"/>
        <w:numPr>
          <w:ilvl w:val="0"/>
          <w:numId w:val="1"/>
        </w:numPr>
        <w:tabs>
          <w:tab w:pos="1642" w:val="left" w:leader="none"/>
        </w:tabs>
        <w:spacing w:line="276" w:lineRule="auto" w:before="101" w:after="0"/>
        <w:ind w:left="1641" w:right="110" w:hanging="360"/>
        <w:jc w:val="both"/>
        <w:rPr>
          <w:sz w:val="22"/>
        </w:rPr>
      </w:pPr>
      <w:r>
        <w:rPr>
          <w:sz w:val="22"/>
        </w:rPr>
        <w:t>Consider carefully which review panel to choose. The most of panel members are replaced every second year so look at the disciplines represented on chosen panel and at the panel members in two years ago to get an idea of the level of prior knowledge within panel. It will also help you to write the Part B1 on “a proper</w:t>
      </w:r>
      <w:r>
        <w:rPr>
          <w:spacing w:val="-13"/>
          <w:sz w:val="22"/>
        </w:rPr>
        <w:t> </w:t>
      </w:r>
      <w:r>
        <w:rPr>
          <w:sz w:val="22"/>
        </w:rPr>
        <w:t>level”.</w:t>
      </w:r>
    </w:p>
    <w:p>
      <w:pPr>
        <w:pStyle w:val="ListParagraph"/>
        <w:numPr>
          <w:ilvl w:val="0"/>
          <w:numId w:val="1"/>
        </w:numPr>
        <w:tabs>
          <w:tab w:pos="1642" w:val="left" w:leader="none"/>
        </w:tabs>
        <w:spacing w:line="276" w:lineRule="auto" w:before="0" w:after="0"/>
        <w:ind w:left="1641" w:right="120" w:hanging="360"/>
        <w:jc w:val="both"/>
        <w:rPr>
          <w:sz w:val="22"/>
        </w:rPr>
      </w:pPr>
      <w:r>
        <w:rPr>
          <w:sz w:val="22"/>
        </w:rPr>
        <w:t>Do not refer part B1 to B2 and vice versa and do not “copy” them. Reviewers that read B1 might not be the same as those reading B2 and those that read B2 will not see</w:t>
      </w:r>
      <w:r>
        <w:rPr>
          <w:spacing w:val="-12"/>
          <w:sz w:val="22"/>
        </w:rPr>
        <w:t> </w:t>
      </w:r>
      <w:r>
        <w:rPr>
          <w:sz w:val="22"/>
        </w:rPr>
        <w:t>B1.</w:t>
      </w:r>
    </w:p>
    <w:p>
      <w:pPr>
        <w:pStyle w:val="ListParagraph"/>
        <w:numPr>
          <w:ilvl w:val="0"/>
          <w:numId w:val="1"/>
        </w:numPr>
        <w:tabs>
          <w:tab w:pos="1642" w:val="left" w:leader="none"/>
        </w:tabs>
        <w:spacing w:line="276" w:lineRule="auto" w:before="0" w:after="0"/>
        <w:ind w:left="1641" w:right="115" w:hanging="360"/>
        <w:jc w:val="both"/>
        <w:rPr>
          <w:sz w:val="22"/>
        </w:rPr>
      </w:pPr>
      <w:r>
        <w:rPr>
          <w:sz w:val="22"/>
        </w:rPr>
        <w:t>Demonstrate clearly and bring, if relevant, attention to your independence, international experience and leadership. In case when team member(s) engaged by another host institution participate(s) in the project, their participation has to be fully justified.</w:t>
      </w:r>
    </w:p>
    <w:p>
      <w:pPr>
        <w:pStyle w:val="ListParagraph"/>
        <w:numPr>
          <w:ilvl w:val="0"/>
          <w:numId w:val="1"/>
        </w:numPr>
        <w:tabs>
          <w:tab w:pos="1642" w:val="left" w:leader="none"/>
        </w:tabs>
        <w:spacing w:line="276" w:lineRule="auto" w:before="0" w:after="0"/>
        <w:ind w:left="1641" w:right="111" w:hanging="360"/>
        <w:jc w:val="both"/>
        <w:rPr>
          <w:sz w:val="22"/>
        </w:rPr>
      </w:pPr>
      <w:r>
        <w:rPr>
          <w:sz w:val="22"/>
        </w:rPr>
        <w:t>Please be aware that in case of the approved proposal, as PI you will have an obligation to ensure open access to all peer-reviewed scientific publications related to the results of the ERC project. More information is available</w:t>
      </w:r>
      <w:r>
        <w:rPr>
          <w:color w:val="0000FF"/>
          <w:spacing w:val="-3"/>
          <w:sz w:val="22"/>
        </w:rPr>
        <w:t> </w:t>
      </w:r>
      <w:hyperlink r:id="rId11">
        <w:r>
          <w:rPr>
            <w:color w:val="0000FF"/>
            <w:sz w:val="22"/>
            <w:u w:val="single" w:color="0000FF"/>
          </w:rPr>
          <w:t>here</w:t>
        </w:r>
        <w:r>
          <w:rPr>
            <w:sz w:val="22"/>
          </w:rPr>
          <w:t>.</w:t>
        </w:r>
      </w:hyperlink>
    </w:p>
    <w:p>
      <w:pPr>
        <w:pStyle w:val="ListParagraph"/>
        <w:numPr>
          <w:ilvl w:val="0"/>
          <w:numId w:val="1"/>
        </w:numPr>
        <w:tabs>
          <w:tab w:pos="1642" w:val="left" w:leader="none"/>
        </w:tabs>
        <w:spacing w:line="240" w:lineRule="auto" w:before="0" w:after="0"/>
        <w:ind w:left="1641" w:right="0" w:hanging="360"/>
        <w:jc w:val="left"/>
        <w:rPr>
          <w:sz w:val="22"/>
        </w:rPr>
      </w:pPr>
      <w:r>
        <w:rPr>
          <w:sz w:val="22"/>
        </w:rPr>
        <w:t>If you have an on-going ERC project, please be aware of the</w:t>
      </w:r>
      <w:r>
        <w:rPr>
          <w:spacing w:val="-14"/>
          <w:sz w:val="22"/>
        </w:rPr>
        <w:t> </w:t>
      </w:r>
      <w:r>
        <w:rPr>
          <w:sz w:val="22"/>
        </w:rPr>
        <w:t>following:</w:t>
      </w:r>
    </w:p>
    <w:p>
      <w:pPr>
        <w:pStyle w:val="ListParagraph"/>
        <w:numPr>
          <w:ilvl w:val="0"/>
          <w:numId w:val="2"/>
        </w:numPr>
        <w:tabs>
          <w:tab w:pos="1762" w:val="left" w:leader="none"/>
        </w:tabs>
        <w:spacing w:line="276" w:lineRule="auto" w:before="38" w:after="0"/>
        <w:ind w:left="1573" w:right="116" w:firstLine="0"/>
        <w:jc w:val="both"/>
        <w:rPr>
          <w:sz w:val="22"/>
        </w:rPr>
      </w:pPr>
      <w:r>
        <w:rPr>
          <w:sz w:val="22"/>
        </w:rPr>
        <w:t>A researcher may participate as Principal Investigator in only one ERC frontier research project at any one time (a new frontier research project can only start after the duration of the project fixed in a previous frontier research grant agreement has ended);</w:t>
      </w:r>
    </w:p>
    <w:p>
      <w:pPr>
        <w:pStyle w:val="ListParagraph"/>
        <w:numPr>
          <w:ilvl w:val="0"/>
          <w:numId w:val="2"/>
        </w:numPr>
        <w:tabs>
          <w:tab w:pos="1762" w:val="left" w:leader="none"/>
        </w:tabs>
        <w:spacing w:line="276" w:lineRule="auto" w:before="0" w:after="0"/>
        <w:ind w:left="1573" w:right="125" w:firstLine="0"/>
        <w:jc w:val="both"/>
        <w:rPr>
          <w:sz w:val="22"/>
        </w:rPr>
      </w:pPr>
      <w:r>
        <w:rPr>
          <w:sz w:val="22"/>
        </w:rPr>
        <w:t>A researcher participating as Principal Investigator in an ERC frontier research project may not submit a proposal for another ERC frontier research grant, unless the existing project ends (according to GA) no more than two years after the call</w:t>
      </w:r>
      <w:r>
        <w:rPr>
          <w:spacing w:val="-15"/>
          <w:sz w:val="22"/>
        </w:rPr>
        <w:t> </w:t>
      </w:r>
      <w:r>
        <w:rPr>
          <w:sz w:val="22"/>
        </w:rPr>
        <w:t>deadline.</w:t>
      </w:r>
    </w:p>
    <w:p>
      <w:pPr>
        <w:pStyle w:val="ListParagraph"/>
        <w:numPr>
          <w:ilvl w:val="0"/>
          <w:numId w:val="1"/>
        </w:numPr>
        <w:tabs>
          <w:tab w:pos="1642" w:val="left" w:leader="none"/>
        </w:tabs>
        <w:spacing w:line="278" w:lineRule="auto" w:before="4" w:after="0"/>
        <w:ind w:left="1641" w:right="114" w:hanging="360"/>
        <w:jc w:val="both"/>
        <w:rPr>
          <w:sz w:val="22"/>
        </w:rPr>
      </w:pPr>
      <w:r>
        <w:rPr>
          <w:sz w:val="22"/>
        </w:rPr>
        <w:t>Get advice and feedback from others and proof-read the proposal. KTH Research Office has some</w:t>
      </w:r>
      <w:r>
        <w:rPr>
          <w:color w:val="0000FF"/>
          <w:sz w:val="22"/>
        </w:rPr>
        <w:t> </w:t>
      </w:r>
      <w:hyperlink r:id="rId12">
        <w:r>
          <w:rPr>
            <w:color w:val="0000FF"/>
            <w:sz w:val="22"/>
            <w:u w:val="single" w:color="0000FF"/>
          </w:rPr>
          <w:t>support</w:t>
        </w:r>
        <w:r>
          <w:rPr>
            <w:color w:val="0000FF"/>
            <w:spacing w:val="-4"/>
            <w:sz w:val="22"/>
            <w:u w:val="single" w:color="0000FF"/>
          </w:rPr>
          <w:t> </w:t>
        </w:r>
        <w:r>
          <w:rPr>
            <w:color w:val="0000FF"/>
            <w:sz w:val="22"/>
            <w:u w:val="single" w:color="0000FF"/>
          </w:rPr>
          <w:t>available</w:t>
        </w:r>
      </w:hyperlink>
      <w:r>
        <w:rPr>
          <w:sz w:val="22"/>
        </w:rPr>
        <w:t>.</w:t>
      </w:r>
    </w:p>
    <w:sectPr>
      <w:pgSz w:w="11910" w:h="16840"/>
      <w:pgMar w:header="0" w:footer="787" w:top="1580" w:bottom="980" w:left="6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2.659973pt;margin-top:791.572144pt;width:18.6pt;height:10.45pt;mso-position-horizontal-relative:page;mso-position-vertical-relative:page;z-index:-3232" type="#_x0000_t202" filled="false" stroked="false">
          <v:textbox inset="0,0,0,0">
            <w:txbxContent>
              <w:p>
                <w:pPr>
                  <w:spacing w:before="16"/>
                  <w:ind w:left="40" w:right="0" w:firstLine="0"/>
                  <w:jc w:val="left"/>
                  <w:rPr>
                    <w:rFonts w:ascii="Arial"/>
                    <w:sz w:val="15"/>
                  </w:rPr>
                </w:pPr>
                <w:r>
                  <w:rPr/>
                  <w:fldChar w:fldCharType="begin"/>
                </w:r>
                <w:r>
                  <w:rPr>
                    <w:rFonts w:ascii="Arial"/>
                    <w:sz w:val="15"/>
                  </w:rPr>
                  <w:instrText> PAGE </w:instrText>
                </w:r>
                <w:r>
                  <w:rPr/>
                  <w:fldChar w:fldCharType="separate"/>
                </w:r>
                <w:r>
                  <w:rPr/>
                  <w:t>1</w:t>
                </w:r>
                <w:r>
                  <w:rPr/>
                  <w:fldChar w:fldCharType="end"/>
                </w:r>
                <w:r>
                  <w:rPr>
                    <w:rFonts w:ascii="Arial"/>
                    <w:sz w:val="15"/>
                  </w:rPr>
                  <w:t>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73" w:hanging="188"/>
      </w:pPr>
      <w:rPr>
        <w:rFonts w:hint="default" w:ascii="Georgia" w:hAnsi="Georgia" w:eastAsia="Georgia" w:cs="Georgia"/>
        <w:w w:val="100"/>
        <w:sz w:val="22"/>
        <w:szCs w:val="22"/>
        <w:lang w:val="sv-SE" w:eastAsia="sv-SE" w:bidi="sv-SE"/>
      </w:rPr>
    </w:lvl>
    <w:lvl w:ilvl="1">
      <w:start w:val="0"/>
      <w:numFmt w:val="bullet"/>
      <w:lvlText w:val="•"/>
      <w:lvlJc w:val="left"/>
      <w:pPr>
        <w:ind w:left="2434" w:hanging="188"/>
      </w:pPr>
      <w:rPr>
        <w:rFonts w:hint="default"/>
        <w:lang w:val="sv-SE" w:eastAsia="sv-SE" w:bidi="sv-SE"/>
      </w:rPr>
    </w:lvl>
    <w:lvl w:ilvl="2">
      <w:start w:val="0"/>
      <w:numFmt w:val="bullet"/>
      <w:lvlText w:val="•"/>
      <w:lvlJc w:val="left"/>
      <w:pPr>
        <w:ind w:left="3289" w:hanging="188"/>
      </w:pPr>
      <w:rPr>
        <w:rFonts w:hint="default"/>
        <w:lang w:val="sv-SE" w:eastAsia="sv-SE" w:bidi="sv-SE"/>
      </w:rPr>
    </w:lvl>
    <w:lvl w:ilvl="3">
      <w:start w:val="0"/>
      <w:numFmt w:val="bullet"/>
      <w:lvlText w:val="•"/>
      <w:lvlJc w:val="left"/>
      <w:pPr>
        <w:ind w:left="4143" w:hanging="188"/>
      </w:pPr>
      <w:rPr>
        <w:rFonts w:hint="default"/>
        <w:lang w:val="sv-SE" w:eastAsia="sv-SE" w:bidi="sv-SE"/>
      </w:rPr>
    </w:lvl>
    <w:lvl w:ilvl="4">
      <w:start w:val="0"/>
      <w:numFmt w:val="bullet"/>
      <w:lvlText w:val="•"/>
      <w:lvlJc w:val="left"/>
      <w:pPr>
        <w:ind w:left="4998" w:hanging="188"/>
      </w:pPr>
      <w:rPr>
        <w:rFonts w:hint="default"/>
        <w:lang w:val="sv-SE" w:eastAsia="sv-SE" w:bidi="sv-SE"/>
      </w:rPr>
    </w:lvl>
    <w:lvl w:ilvl="5">
      <w:start w:val="0"/>
      <w:numFmt w:val="bullet"/>
      <w:lvlText w:val="•"/>
      <w:lvlJc w:val="left"/>
      <w:pPr>
        <w:ind w:left="5853" w:hanging="188"/>
      </w:pPr>
      <w:rPr>
        <w:rFonts w:hint="default"/>
        <w:lang w:val="sv-SE" w:eastAsia="sv-SE" w:bidi="sv-SE"/>
      </w:rPr>
    </w:lvl>
    <w:lvl w:ilvl="6">
      <w:start w:val="0"/>
      <w:numFmt w:val="bullet"/>
      <w:lvlText w:val="•"/>
      <w:lvlJc w:val="left"/>
      <w:pPr>
        <w:ind w:left="6707" w:hanging="188"/>
      </w:pPr>
      <w:rPr>
        <w:rFonts w:hint="default"/>
        <w:lang w:val="sv-SE" w:eastAsia="sv-SE" w:bidi="sv-SE"/>
      </w:rPr>
    </w:lvl>
    <w:lvl w:ilvl="7">
      <w:start w:val="0"/>
      <w:numFmt w:val="bullet"/>
      <w:lvlText w:val="•"/>
      <w:lvlJc w:val="left"/>
      <w:pPr>
        <w:ind w:left="7562" w:hanging="188"/>
      </w:pPr>
      <w:rPr>
        <w:rFonts w:hint="default"/>
        <w:lang w:val="sv-SE" w:eastAsia="sv-SE" w:bidi="sv-SE"/>
      </w:rPr>
    </w:lvl>
    <w:lvl w:ilvl="8">
      <w:start w:val="0"/>
      <w:numFmt w:val="bullet"/>
      <w:lvlText w:val="•"/>
      <w:lvlJc w:val="left"/>
      <w:pPr>
        <w:ind w:left="8417" w:hanging="188"/>
      </w:pPr>
      <w:rPr>
        <w:rFonts w:hint="default"/>
        <w:lang w:val="sv-SE" w:eastAsia="sv-SE" w:bidi="sv-SE"/>
      </w:rPr>
    </w:lvl>
  </w:abstractNum>
  <w:abstractNum w:abstractNumId="0">
    <w:multiLevelType w:val="hybridMultilevel"/>
    <w:lvl w:ilvl="0">
      <w:start w:val="1"/>
      <w:numFmt w:val="decimal"/>
      <w:lvlText w:val="%1."/>
      <w:lvlJc w:val="left"/>
      <w:pPr>
        <w:ind w:left="1641" w:hanging="361"/>
        <w:jc w:val="left"/>
      </w:pPr>
      <w:rPr>
        <w:rFonts w:hint="default" w:ascii="Georgia" w:hAnsi="Georgia" w:eastAsia="Georgia" w:cs="Georgia"/>
        <w:spacing w:val="0"/>
        <w:w w:val="100"/>
        <w:sz w:val="22"/>
        <w:szCs w:val="22"/>
        <w:lang w:val="sv-SE" w:eastAsia="sv-SE" w:bidi="sv-SE"/>
      </w:rPr>
    </w:lvl>
    <w:lvl w:ilvl="1">
      <w:start w:val="0"/>
      <w:numFmt w:val="bullet"/>
      <w:lvlText w:val="-"/>
      <w:lvlJc w:val="left"/>
      <w:pPr>
        <w:ind w:left="1934" w:hanging="360"/>
      </w:pPr>
      <w:rPr>
        <w:rFonts w:hint="default" w:ascii="Calibri" w:hAnsi="Calibri" w:eastAsia="Calibri" w:cs="Calibri"/>
        <w:w w:val="100"/>
        <w:sz w:val="22"/>
        <w:szCs w:val="22"/>
        <w:lang w:val="sv-SE" w:eastAsia="sv-SE" w:bidi="sv-SE"/>
      </w:rPr>
    </w:lvl>
    <w:lvl w:ilvl="2">
      <w:start w:val="0"/>
      <w:numFmt w:val="bullet"/>
      <w:lvlText w:val="•"/>
      <w:lvlJc w:val="left"/>
      <w:pPr>
        <w:ind w:left="2849" w:hanging="360"/>
      </w:pPr>
      <w:rPr>
        <w:rFonts w:hint="default"/>
        <w:lang w:val="sv-SE" w:eastAsia="sv-SE" w:bidi="sv-SE"/>
      </w:rPr>
    </w:lvl>
    <w:lvl w:ilvl="3">
      <w:start w:val="0"/>
      <w:numFmt w:val="bullet"/>
      <w:lvlText w:val="•"/>
      <w:lvlJc w:val="left"/>
      <w:pPr>
        <w:ind w:left="3759" w:hanging="360"/>
      </w:pPr>
      <w:rPr>
        <w:rFonts w:hint="default"/>
        <w:lang w:val="sv-SE" w:eastAsia="sv-SE" w:bidi="sv-SE"/>
      </w:rPr>
    </w:lvl>
    <w:lvl w:ilvl="4">
      <w:start w:val="0"/>
      <w:numFmt w:val="bullet"/>
      <w:lvlText w:val="•"/>
      <w:lvlJc w:val="left"/>
      <w:pPr>
        <w:ind w:left="4668" w:hanging="360"/>
      </w:pPr>
      <w:rPr>
        <w:rFonts w:hint="default"/>
        <w:lang w:val="sv-SE" w:eastAsia="sv-SE" w:bidi="sv-SE"/>
      </w:rPr>
    </w:lvl>
    <w:lvl w:ilvl="5">
      <w:start w:val="0"/>
      <w:numFmt w:val="bullet"/>
      <w:lvlText w:val="•"/>
      <w:lvlJc w:val="left"/>
      <w:pPr>
        <w:ind w:left="5578" w:hanging="360"/>
      </w:pPr>
      <w:rPr>
        <w:rFonts w:hint="default"/>
        <w:lang w:val="sv-SE" w:eastAsia="sv-SE" w:bidi="sv-SE"/>
      </w:rPr>
    </w:lvl>
    <w:lvl w:ilvl="6">
      <w:start w:val="0"/>
      <w:numFmt w:val="bullet"/>
      <w:lvlText w:val="•"/>
      <w:lvlJc w:val="left"/>
      <w:pPr>
        <w:ind w:left="6488" w:hanging="360"/>
      </w:pPr>
      <w:rPr>
        <w:rFonts w:hint="default"/>
        <w:lang w:val="sv-SE" w:eastAsia="sv-SE" w:bidi="sv-SE"/>
      </w:rPr>
    </w:lvl>
    <w:lvl w:ilvl="7">
      <w:start w:val="0"/>
      <w:numFmt w:val="bullet"/>
      <w:lvlText w:val="•"/>
      <w:lvlJc w:val="left"/>
      <w:pPr>
        <w:ind w:left="7397" w:hanging="360"/>
      </w:pPr>
      <w:rPr>
        <w:rFonts w:hint="default"/>
        <w:lang w:val="sv-SE" w:eastAsia="sv-SE" w:bidi="sv-SE"/>
      </w:rPr>
    </w:lvl>
    <w:lvl w:ilvl="8">
      <w:start w:val="0"/>
      <w:numFmt w:val="bullet"/>
      <w:lvlText w:val="•"/>
      <w:lvlJc w:val="left"/>
      <w:pPr>
        <w:ind w:left="8307" w:hanging="360"/>
      </w:pPr>
      <w:rPr>
        <w:rFonts w:hint="default"/>
        <w:lang w:val="sv-SE" w:eastAsia="sv-SE" w:bidi="sv-SE"/>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sv-SE" w:eastAsia="sv-SE" w:bidi="sv-SE"/>
    </w:rPr>
  </w:style>
  <w:style w:styleId="BodyText" w:type="paragraph">
    <w:name w:val="Body Text"/>
    <w:basedOn w:val="Normal"/>
    <w:uiPriority w:val="1"/>
    <w:qFormat/>
    <w:pPr/>
    <w:rPr>
      <w:rFonts w:ascii="Georgia" w:hAnsi="Georgia" w:eastAsia="Georgia" w:cs="Georgia"/>
      <w:sz w:val="22"/>
      <w:szCs w:val="22"/>
      <w:lang w:val="sv-SE" w:eastAsia="sv-SE" w:bidi="sv-SE"/>
    </w:rPr>
  </w:style>
  <w:style w:styleId="Heading1" w:type="paragraph">
    <w:name w:val="Heading 1"/>
    <w:basedOn w:val="Normal"/>
    <w:uiPriority w:val="1"/>
    <w:qFormat/>
    <w:pPr>
      <w:spacing w:before="15"/>
      <w:ind w:left="854"/>
      <w:outlineLvl w:val="1"/>
    </w:pPr>
    <w:rPr>
      <w:rFonts w:ascii="Arial" w:hAnsi="Arial" w:eastAsia="Arial" w:cs="Arial"/>
      <w:b/>
      <w:bCs/>
      <w:sz w:val="28"/>
      <w:szCs w:val="28"/>
      <w:lang w:val="sv-SE" w:eastAsia="sv-SE" w:bidi="sv-SE"/>
    </w:rPr>
  </w:style>
  <w:style w:styleId="ListParagraph" w:type="paragraph">
    <w:name w:val="List Paragraph"/>
    <w:basedOn w:val="Normal"/>
    <w:uiPriority w:val="1"/>
    <w:qFormat/>
    <w:pPr>
      <w:ind w:left="1641" w:hanging="360"/>
      <w:jc w:val="both"/>
    </w:pPr>
    <w:rPr>
      <w:rFonts w:ascii="Georgia" w:hAnsi="Georgia" w:eastAsia="Georgia" w:cs="Georgia"/>
      <w:lang w:val="sv-SE" w:eastAsia="sv-SE" w:bidi="sv-SE"/>
    </w:rPr>
  </w:style>
  <w:style w:styleId="TableParagraph" w:type="paragraph">
    <w:name w:val="Table Paragraph"/>
    <w:basedOn w:val="Normal"/>
    <w:uiPriority w:val="1"/>
    <w:qFormat/>
    <w:pPr/>
    <w:rPr>
      <w:lang w:val="sv-SE" w:eastAsia="sv-SE" w:bidi="sv-S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ec.europa.eu/research/participants/data/ref/h2020/wp/2018-2020/erc/h2020-wp19-erc_en.pdf" TargetMode="External"/><Relationship Id="rId8" Type="http://schemas.openxmlformats.org/officeDocument/2006/relationships/hyperlink" Target="http://ec.europa.eu/research/participants/data/ref/h2020/other/guides_for_applicants/h2020-guide18-erc-stg-cog_en.pdf" TargetMode="External"/><Relationship Id="rId9" Type="http://schemas.openxmlformats.org/officeDocument/2006/relationships/hyperlink" Target="https://erc.europa.eu/" TargetMode="External"/><Relationship Id="rId10" Type="http://schemas.openxmlformats.org/officeDocument/2006/relationships/hyperlink" Target="http://ec.europa.eu/research/participants/data/ref/h2020/other/guides_for_applicants/h2020-guide19-erc-stg-cog_en.pdf" TargetMode="External"/><Relationship Id="rId11" Type="http://schemas.openxmlformats.org/officeDocument/2006/relationships/hyperlink" Target="http://ec.europa.eu/research/participants/data/ref/h2020/other/hi/oa-pilot/h2020-hi-erc-oa-guide_en.pdf" TargetMode="External"/><Relationship Id="rId12" Type="http://schemas.openxmlformats.org/officeDocument/2006/relationships/hyperlink" Target="https://intra.kth.se/en/forskning/forskningsfinansiering/stod-for-forskningsi/finansieringstyper-o/eu-finansiering/h2020/h2020-erc-finansierade-projekt-1.393243"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Almqvist</dc:creator>
  <dcterms:created xsi:type="dcterms:W3CDTF">2020-09-22T14:43:41Z</dcterms:created>
  <dcterms:modified xsi:type="dcterms:W3CDTF">2020-09-22T14:43:41Z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Microsoft® Word 2010</vt:lpwstr>
  </property>
  <property fmtid="{D5CDD505-2E9C-101B-9397-08002B2CF9AE}" pid="4" name="LastSaved">
    <vt:filetime>2020-09-22T00:00:00Z</vt:filetime>
  </property>
</Properties>
</file>