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11" w:rsidRDefault="00D26D11" w:rsidP="00033FB6">
      <w:pPr>
        <w:pStyle w:val="KTHTitel"/>
        <w:rPr>
          <w:lang w:val="en-US"/>
        </w:rPr>
      </w:pPr>
      <w:r>
        <w:rPr>
          <w:noProof/>
          <w:lang w:eastAsia="sv-SE"/>
        </w:rPr>
        <w:drawing>
          <wp:inline distT="0" distB="0" distL="0" distR="0" wp14:anchorId="4A0E133D" wp14:editId="1904EFCB">
            <wp:extent cx="904240" cy="904240"/>
            <wp:effectExtent l="0" t="0" r="0" b="0"/>
            <wp:docPr id="2" name="Bildobjekt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rsidR="00D26D11" w:rsidRDefault="00D26D11" w:rsidP="00033FB6">
      <w:pPr>
        <w:pStyle w:val="KTHTitel"/>
        <w:rPr>
          <w:lang w:val="en-US"/>
        </w:rPr>
      </w:pPr>
    </w:p>
    <w:p w:rsidR="002C0341" w:rsidRDefault="002C0341" w:rsidP="002C0341">
      <w:pPr>
        <w:pStyle w:val="Brdtext"/>
        <w:rPr>
          <w:lang w:val="en-US"/>
        </w:rPr>
      </w:pPr>
    </w:p>
    <w:p w:rsidR="002C0341" w:rsidRDefault="002C0341" w:rsidP="002C0341">
      <w:pPr>
        <w:pStyle w:val="Brdtext"/>
        <w:rPr>
          <w:lang w:val="en-US"/>
        </w:rPr>
      </w:pPr>
    </w:p>
    <w:p w:rsidR="002C0341" w:rsidRDefault="002C0341" w:rsidP="002C0341">
      <w:pPr>
        <w:pStyle w:val="Brdtext"/>
        <w:rPr>
          <w:lang w:val="en-US"/>
        </w:rPr>
      </w:pPr>
    </w:p>
    <w:p w:rsidR="00097F05" w:rsidRDefault="00097F05" w:rsidP="002C0341">
      <w:pPr>
        <w:pStyle w:val="Brdtext"/>
        <w:rPr>
          <w:lang w:val="en-US"/>
        </w:rPr>
      </w:pPr>
    </w:p>
    <w:p w:rsidR="002C0341" w:rsidRPr="002C0341" w:rsidRDefault="002C0341" w:rsidP="002C0341">
      <w:pPr>
        <w:pStyle w:val="Brdtext"/>
        <w:rPr>
          <w:lang w:val="en-US"/>
        </w:rPr>
      </w:pPr>
    </w:p>
    <w:p w:rsidR="007F2A47" w:rsidRPr="00187448" w:rsidRDefault="00ED7E0A" w:rsidP="00033FB6">
      <w:pPr>
        <w:pStyle w:val="KTHTitel"/>
        <w:rPr>
          <w:sz w:val="48"/>
          <w:szCs w:val="48"/>
          <w:lang w:val="en-US"/>
        </w:rPr>
      </w:pPr>
      <w:r>
        <w:rPr>
          <w:sz w:val="48"/>
          <w:szCs w:val="48"/>
          <w:lang w:val="en-US"/>
        </w:rPr>
        <w:t>Benchmarking</w:t>
      </w:r>
      <w:r w:rsidR="00601510" w:rsidRPr="00187448">
        <w:rPr>
          <w:sz w:val="48"/>
          <w:szCs w:val="48"/>
          <w:lang w:val="en-US"/>
        </w:rPr>
        <w:t xml:space="preserve"> </w:t>
      </w:r>
      <w:r w:rsidR="007F2A47" w:rsidRPr="00187448">
        <w:rPr>
          <w:sz w:val="48"/>
          <w:szCs w:val="48"/>
          <w:lang w:val="en-US"/>
        </w:rPr>
        <w:t>THE Impact rankings</w:t>
      </w:r>
      <w:r w:rsidR="00C611B5">
        <w:rPr>
          <w:sz w:val="48"/>
          <w:szCs w:val="48"/>
          <w:lang w:val="en-US"/>
        </w:rPr>
        <w:t xml:space="preserve"> 2020</w:t>
      </w:r>
    </w:p>
    <w:p w:rsidR="00BD3C5D" w:rsidRPr="00C34530" w:rsidRDefault="00BD3C5D" w:rsidP="00BD3C5D">
      <w:pPr>
        <w:pStyle w:val="Brdtext"/>
        <w:rPr>
          <w:lang w:val="en-US"/>
        </w:rPr>
      </w:pPr>
      <w:r w:rsidRPr="00C34530">
        <w:rPr>
          <w:lang w:val="en-US"/>
        </w:rPr>
        <w:t>Per-Anders Östling</w:t>
      </w:r>
    </w:p>
    <w:p w:rsidR="00BD3C5D" w:rsidRDefault="00BD3C5D"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sdt>
      <w:sdtPr>
        <w:rPr>
          <w:rFonts w:asciiTheme="minorHAnsi" w:hAnsiTheme="minorHAnsi"/>
          <w:b w:val="0"/>
          <w:sz w:val="20"/>
        </w:rPr>
        <w:id w:val="-998969859"/>
        <w:docPartObj>
          <w:docPartGallery w:val="Table of Contents"/>
          <w:docPartUnique/>
        </w:docPartObj>
      </w:sdtPr>
      <w:sdtEndPr>
        <w:rPr>
          <w:bCs/>
        </w:rPr>
      </w:sdtEndPr>
      <w:sdtContent>
        <w:p w:rsidR="002C0341" w:rsidRDefault="002C0341">
          <w:pPr>
            <w:pStyle w:val="Innehllsfrteckningsrubrik"/>
          </w:pPr>
          <w:r>
            <w:t>Innehåll</w:t>
          </w:r>
        </w:p>
        <w:p w:rsidR="00955C20" w:rsidRDefault="002C0341">
          <w:pPr>
            <w:pStyle w:val="Innehll1"/>
            <w:tabs>
              <w:tab w:val="right" w:leader="dot" w:pos="9062"/>
            </w:tabs>
            <w:rPr>
              <w:rFonts w:eastAsiaTheme="minorEastAsia"/>
              <w:noProof/>
              <w:sz w:val="22"/>
              <w:szCs w:val="22"/>
              <w:lang w:eastAsia="sv-SE"/>
            </w:rPr>
          </w:pPr>
          <w:r>
            <w:fldChar w:fldCharType="begin"/>
          </w:r>
          <w:r>
            <w:instrText xml:space="preserve"> TOC \o "1-3" \h \z \u </w:instrText>
          </w:r>
          <w:r>
            <w:fldChar w:fldCharType="separate"/>
          </w:r>
          <w:hyperlink w:anchor="_Toc63236552" w:history="1">
            <w:r w:rsidR="00955C20" w:rsidRPr="007B68D1">
              <w:rPr>
                <w:rStyle w:val="Hyperlnk"/>
                <w:noProof/>
              </w:rPr>
              <w:t>Inledning</w:t>
            </w:r>
            <w:r w:rsidR="00955C20">
              <w:rPr>
                <w:noProof/>
                <w:webHidden/>
              </w:rPr>
              <w:tab/>
            </w:r>
            <w:r w:rsidR="00955C20">
              <w:rPr>
                <w:noProof/>
                <w:webHidden/>
              </w:rPr>
              <w:fldChar w:fldCharType="begin"/>
            </w:r>
            <w:r w:rsidR="00955C20">
              <w:rPr>
                <w:noProof/>
                <w:webHidden/>
              </w:rPr>
              <w:instrText xml:space="preserve"> PAGEREF _Toc63236552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1"/>
            <w:tabs>
              <w:tab w:val="right" w:leader="dot" w:pos="9062"/>
            </w:tabs>
            <w:rPr>
              <w:rFonts w:eastAsiaTheme="minorEastAsia"/>
              <w:noProof/>
              <w:sz w:val="22"/>
              <w:szCs w:val="22"/>
              <w:lang w:eastAsia="sv-SE"/>
            </w:rPr>
          </w:pPr>
          <w:hyperlink w:anchor="_Toc63236553" w:history="1">
            <w:r w:rsidR="00955C20" w:rsidRPr="007B68D1">
              <w:rPr>
                <w:rStyle w:val="Hyperlnk"/>
                <w:noProof/>
              </w:rPr>
              <w:t>Metodik</w:t>
            </w:r>
            <w:r w:rsidR="00955C20">
              <w:rPr>
                <w:noProof/>
                <w:webHidden/>
              </w:rPr>
              <w:tab/>
            </w:r>
            <w:r w:rsidR="00955C20">
              <w:rPr>
                <w:noProof/>
                <w:webHidden/>
              </w:rPr>
              <w:fldChar w:fldCharType="begin"/>
            </w:r>
            <w:r w:rsidR="00955C20">
              <w:rPr>
                <w:noProof/>
                <w:webHidden/>
              </w:rPr>
              <w:instrText xml:space="preserve"> PAGEREF _Toc63236553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2"/>
            <w:tabs>
              <w:tab w:val="right" w:leader="dot" w:pos="9062"/>
            </w:tabs>
            <w:rPr>
              <w:rFonts w:eastAsiaTheme="minorEastAsia"/>
              <w:noProof/>
              <w:sz w:val="22"/>
              <w:szCs w:val="22"/>
              <w:lang w:eastAsia="sv-SE"/>
            </w:rPr>
          </w:pPr>
          <w:hyperlink w:anchor="_Toc63236554" w:history="1">
            <w:r w:rsidR="00955C20" w:rsidRPr="007B68D1">
              <w:rPr>
                <w:rStyle w:val="Hyperlnk"/>
                <w:noProof/>
                <w:lang w:val="en-US"/>
              </w:rPr>
              <w:t>Benchmarking per SDG</w:t>
            </w:r>
            <w:r w:rsidR="00955C20">
              <w:rPr>
                <w:noProof/>
                <w:webHidden/>
              </w:rPr>
              <w:tab/>
            </w:r>
            <w:r w:rsidR="00955C20">
              <w:rPr>
                <w:noProof/>
                <w:webHidden/>
              </w:rPr>
              <w:fldChar w:fldCharType="begin"/>
            </w:r>
            <w:r w:rsidR="00955C20">
              <w:rPr>
                <w:noProof/>
                <w:webHidden/>
              </w:rPr>
              <w:instrText xml:space="preserve"> PAGEREF _Toc63236554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55" w:history="1">
            <w:r w:rsidR="00955C20" w:rsidRPr="007B68D1">
              <w:rPr>
                <w:rStyle w:val="Hyperlnk"/>
                <w:noProof/>
                <w:lang w:val="en-US"/>
              </w:rPr>
              <w:t>SDG 4 Quality Education</w:t>
            </w:r>
            <w:r w:rsidR="00955C20">
              <w:rPr>
                <w:noProof/>
                <w:webHidden/>
              </w:rPr>
              <w:tab/>
            </w:r>
            <w:r w:rsidR="00955C20">
              <w:rPr>
                <w:noProof/>
                <w:webHidden/>
              </w:rPr>
              <w:fldChar w:fldCharType="begin"/>
            </w:r>
            <w:r w:rsidR="00955C20">
              <w:rPr>
                <w:noProof/>
                <w:webHidden/>
              </w:rPr>
              <w:instrText xml:space="preserve"> PAGEREF _Toc63236555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56" w:history="1">
            <w:r w:rsidR="00955C20" w:rsidRPr="007B68D1">
              <w:rPr>
                <w:rStyle w:val="Hyperlnk"/>
                <w:noProof/>
              </w:rPr>
              <w:t>SDG 5 Gender Equality</w:t>
            </w:r>
            <w:r w:rsidR="00955C20">
              <w:rPr>
                <w:noProof/>
                <w:webHidden/>
              </w:rPr>
              <w:tab/>
            </w:r>
            <w:r w:rsidR="00955C20">
              <w:rPr>
                <w:noProof/>
                <w:webHidden/>
              </w:rPr>
              <w:fldChar w:fldCharType="begin"/>
            </w:r>
            <w:r w:rsidR="00955C20">
              <w:rPr>
                <w:noProof/>
                <w:webHidden/>
              </w:rPr>
              <w:instrText xml:space="preserve"> PAGEREF _Toc63236556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57" w:history="1">
            <w:r w:rsidR="00955C20" w:rsidRPr="007B68D1">
              <w:rPr>
                <w:rStyle w:val="Hyperlnk"/>
                <w:noProof/>
              </w:rPr>
              <w:t>SDG 6 Clean Water and Sanitation</w:t>
            </w:r>
            <w:r w:rsidR="00955C20">
              <w:rPr>
                <w:noProof/>
                <w:webHidden/>
              </w:rPr>
              <w:tab/>
            </w:r>
            <w:r w:rsidR="00955C20">
              <w:rPr>
                <w:noProof/>
                <w:webHidden/>
              </w:rPr>
              <w:fldChar w:fldCharType="begin"/>
            </w:r>
            <w:r w:rsidR="00955C20">
              <w:rPr>
                <w:noProof/>
                <w:webHidden/>
              </w:rPr>
              <w:instrText xml:space="preserve"> PAGEREF _Toc63236557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58" w:history="1">
            <w:r w:rsidR="00955C20" w:rsidRPr="007B68D1">
              <w:rPr>
                <w:rStyle w:val="Hyperlnk"/>
                <w:noProof/>
              </w:rPr>
              <w:t>SDG 7 Affordable and Clean Energy</w:t>
            </w:r>
            <w:r w:rsidR="00955C20">
              <w:rPr>
                <w:noProof/>
                <w:webHidden/>
              </w:rPr>
              <w:tab/>
            </w:r>
            <w:r w:rsidR="00955C20">
              <w:rPr>
                <w:noProof/>
                <w:webHidden/>
              </w:rPr>
              <w:fldChar w:fldCharType="begin"/>
            </w:r>
            <w:r w:rsidR="00955C20">
              <w:rPr>
                <w:noProof/>
                <w:webHidden/>
              </w:rPr>
              <w:instrText xml:space="preserve"> PAGEREF _Toc63236558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59" w:history="1">
            <w:r w:rsidR="00955C20" w:rsidRPr="007B68D1">
              <w:rPr>
                <w:rStyle w:val="Hyperlnk"/>
                <w:noProof/>
                <w:lang w:val="en-US"/>
              </w:rPr>
              <w:t>SDG 8 Decent Work and Economic Growth</w:t>
            </w:r>
            <w:r w:rsidR="00955C20">
              <w:rPr>
                <w:noProof/>
                <w:webHidden/>
              </w:rPr>
              <w:tab/>
            </w:r>
            <w:r w:rsidR="00955C20">
              <w:rPr>
                <w:noProof/>
                <w:webHidden/>
              </w:rPr>
              <w:fldChar w:fldCharType="begin"/>
            </w:r>
            <w:r w:rsidR="00955C20">
              <w:rPr>
                <w:noProof/>
                <w:webHidden/>
              </w:rPr>
              <w:instrText xml:space="preserve"> PAGEREF _Toc63236559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0" w:history="1">
            <w:r w:rsidR="00955C20" w:rsidRPr="007B68D1">
              <w:rPr>
                <w:rStyle w:val="Hyperlnk"/>
                <w:noProof/>
              </w:rPr>
              <w:t>SDG 9 Industry, Innovation and Infrastructure</w:t>
            </w:r>
            <w:r w:rsidR="00955C20">
              <w:rPr>
                <w:noProof/>
                <w:webHidden/>
              </w:rPr>
              <w:tab/>
            </w:r>
            <w:r w:rsidR="00955C20">
              <w:rPr>
                <w:noProof/>
                <w:webHidden/>
              </w:rPr>
              <w:fldChar w:fldCharType="begin"/>
            </w:r>
            <w:r w:rsidR="00955C20">
              <w:rPr>
                <w:noProof/>
                <w:webHidden/>
              </w:rPr>
              <w:instrText xml:space="preserve"> PAGEREF _Toc63236560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1" w:history="1">
            <w:r w:rsidR="00955C20" w:rsidRPr="007B68D1">
              <w:rPr>
                <w:rStyle w:val="Hyperlnk"/>
                <w:noProof/>
              </w:rPr>
              <w:t>SDG 10 Reduced Inequalities</w:t>
            </w:r>
            <w:r w:rsidR="00955C20">
              <w:rPr>
                <w:noProof/>
                <w:webHidden/>
              </w:rPr>
              <w:tab/>
            </w:r>
            <w:r w:rsidR="00955C20">
              <w:rPr>
                <w:noProof/>
                <w:webHidden/>
              </w:rPr>
              <w:fldChar w:fldCharType="begin"/>
            </w:r>
            <w:r w:rsidR="00955C20">
              <w:rPr>
                <w:noProof/>
                <w:webHidden/>
              </w:rPr>
              <w:instrText xml:space="preserve"> PAGEREF _Toc63236561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2" w:history="1">
            <w:r w:rsidR="00955C20" w:rsidRPr="007B68D1">
              <w:rPr>
                <w:rStyle w:val="Hyperlnk"/>
                <w:noProof/>
                <w:lang w:val="en-US"/>
              </w:rPr>
              <w:t>SDG 11 Sustainable Cities and Communities</w:t>
            </w:r>
            <w:r w:rsidR="00955C20">
              <w:rPr>
                <w:noProof/>
                <w:webHidden/>
              </w:rPr>
              <w:tab/>
            </w:r>
            <w:r w:rsidR="00955C20">
              <w:rPr>
                <w:noProof/>
                <w:webHidden/>
              </w:rPr>
              <w:fldChar w:fldCharType="begin"/>
            </w:r>
            <w:r w:rsidR="00955C20">
              <w:rPr>
                <w:noProof/>
                <w:webHidden/>
              </w:rPr>
              <w:instrText xml:space="preserve"> PAGEREF _Toc63236562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3" w:history="1">
            <w:r w:rsidR="00955C20" w:rsidRPr="007B68D1">
              <w:rPr>
                <w:rStyle w:val="Hyperlnk"/>
                <w:noProof/>
              </w:rPr>
              <w:t>SDG 12 Responsible Consumption and Production</w:t>
            </w:r>
            <w:r w:rsidR="00955C20">
              <w:rPr>
                <w:noProof/>
                <w:webHidden/>
              </w:rPr>
              <w:tab/>
            </w:r>
            <w:r w:rsidR="00955C20">
              <w:rPr>
                <w:noProof/>
                <w:webHidden/>
              </w:rPr>
              <w:fldChar w:fldCharType="begin"/>
            </w:r>
            <w:r w:rsidR="00955C20">
              <w:rPr>
                <w:noProof/>
                <w:webHidden/>
              </w:rPr>
              <w:instrText xml:space="preserve"> PAGEREF _Toc63236563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4" w:history="1">
            <w:r w:rsidR="00955C20" w:rsidRPr="007B68D1">
              <w:rPr>
                <w:rStyle w:val="Hyperlnk"/>
                <w:noProof/>
              </w:rPr>
              <w:t>SDG 13 Climate Action</w:t>
            </w:r>
            <w:r w:rsidR="00955C20">
              <w:rPr>
                <w:noProof/>
                <w:webHidden/>
              </w:rPr>
              <w:tab/>
            </w:r>
            <w:r w:rsidR="00955C20">
              <w:rPr>
                <w:noProof/>
                <w:webHidden/>
              </w:rPr>
              <w:fldChar w:fldCharType="begin"/>
            </w:r>
            <w:r w:rsidR="00955C20">
              <w:rPr>
                <w:noProof/>
                <w:webHidden/>
              </w:rPr>
              <w:instrText xml:space="preserve"> PAGEREF _Toc63236564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5" w:history="1">
            <w:r w:rsidR="00955C20" w:rsidRPr="007B68D1">
              <w:rPr>
                <w:rStyle w:val="Hyperlnk"/>
                <w:noProof/>
              </w:rPr>
              <w:t>SDG 15 Life on Land</w:t>
            </w:r>
            <w:r w:rsidR="00955C20">
              <w:rPr>
                <w:noProof/>
                <w:webHidden/>
              </w:rPr>
              <w:tab/>
            </w:r>
            <w:r w:rsidR="00955C20">
              <w:rPr>
                <w:noProof/>
                <w:webHidden/>
              </w:rPr>
              <w:fldChar w:fldCharType="begin"/>
            </w:r>
            <w:r w:rsidR="00955C20">
              <w:rPr>
                <w:noProof/>
                <w:webHidden/>
              </w:rPr>
              <w:instrText xml:space="preserve"> PAGEREF _Toc63236565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6" w:history="1">
            <w:r w:rsidR="00955C20" w:rsidRPr="007B68D1">
              <w:rPr>
                <w:rStyle w:val="Hyperlnk"/>
                <w:noProof/>
              </w:rPr>
              <w:t>SDG 17 Partnership for the Goals</w:t>
            </w:r>
            <w:r w:rsidR="00955C20">
              <w:rPr>
                <w:noProof/>
                <w:webHidden/>
              </w:rPr>
              <w:tab/>
            </w:r>
            <w:r w:rsidR="00955C20">
              <w:rPr>
                <w:noProof/>
                <w:webHidden/>
              </w:rPr>
              <w:fldChar w:fldCharType="begin"/>
            </w:r>
            <w:r w:rsidR="00955C20">
              <w:rPr>
                <w:noProof/>
                <w:webHidden/>
              </w:rPr>
              <w:instrText xml:space="preserve"> PAGEREF _Toc63236566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3"/>
            <w:tabs>
              <w:tab w:val="right" w:leader="dot" w:pos="9062"/>
            </w:tabs>
            <w:rPr>
              <w:rFonts w:eastAsiaTheme="minorEastAsia"/>
              <w:noProof/>
              <w:sz w:val="22"/>
              <w:szCs w:val="22"/>
              <w:lang w:eastAsia="sv-SE"/>
            </w:rPr>
          </w:pPr>
          <w:hyperlink w:anchor="_Toc63236567" w:history="1">
            <w:r w:rsidR="00955C20" w:rsidRPr="007B68D1">
              <w:rPr>
                <w:rStyle w:val="Hyperlnk"/>
                <w:noProof/>
              </w:rPr>
              <w:t>KTH:s styrkor och svagheter</w:t>
            </w:r>
            <w:r w:rsidR="00955C20">
              <w:rPr>
                <w:noProof/>
                <w:webHidden/>
              </w:rPr>
              <w:tab/>
            </w:r>
            <w:r w:rsidR="00955C20">
              <w:rPr>
                <w:noProof/>
                <w:webHidden/>
              </w:rPr>
              <w:fldChar w:fldCharType="begin"/>
            </w:r>
            <w:r w:rsidR="00955C20">
              <w:rPr>
                <w:noProof/>
                <w:webHidden/>
              </w:rPr>
              <w:instrText xml:space="preserve"> PAGEREF _Toc63236567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955C20" w:rsidRDefault="00C86E5F">
          <w:pPr>
            <w:pStyle w:val="Innehll2"/>
            <w:tabs>
              <w:tab w:val="right" w:leader="dot" w:pos="9062"/>
            </w:tabs>
            <w:rPr>
              <w:rFonts w:eastAsiaTheme="minorEastAsia"/>
              <w:noProof/>
              <w:sz w:val="22"/>
              <w:szCs w:val="22"/>
              <w:lang w:eastAsia="sv-SE"/>
            </w:rPr>
          </w:pPr>
          <w:hyperlink w:anchor="_Toc63236568" w:history="1">
            <w:r w:rsidR="00955C20" w:rsidRPr="007B68D1">
              <w:rPr>
                <w:rStyle w:val="Hyperlnk"/>
                <w:noProof/>
              </w:rPr>
              <w:t>Avslutning</w:t>
            </w:r>
            <w:r w:rsidR="00955C20">
              <w:rPr>
                <w:noProof/>
                <w:webHidden/>
              </w:rPr>
              <w:tab/>
            </w:r>
            <w:r w:rsidR="00955C20">
              <w:rPr>
                <w:noProof/>
                <w:webHidden/>
              </w:rPr>
              <w:fldChar w:fldCharType="begin"/>
            </w:r>
            <w:r w:rsidR="00955C20">
              <w:rPr>
                <w:noProof/>
                <w:webHidden/>
              </w:rPr>
              <w:instrText xml:space="preserve"> PAGEREF _Toc63236568 \h </w:instrText>
            </w:r>
            <w:r w:rsidR="00955C20">
              <w:rPr>
                <w:noProof/>
                <w:webHidden/>
              </w:rPr>
            </w:r>
            <w:r w:rsidR="00955C20">
              <w:rPr>
                <w:noProof/>
                <w:webHidden/>
              </w:rPr>
              <w:fldChar w:fldCharType="separate"/>
            </w:r>
            <w:r w:rsidR="00610246">
              <w:rPr>
                <w:noProof/>
                <w:webHidden/>
              </w:rPr>
              <w:t>2</w:t>
            </w:r>
            <w:r w:rsidR="00955C20">
              <w:rPr>
                <w:noProof/>
                <w:webHidden/>
              </w:rPr>
              <w:fldChar w:fldCharType="end"/>
            </w:r>
          </w:hyperlink>
        </w:p>
        <w:p w:rsidR="002C0341" w:rsidRDefault="002C0341">
          <w:r>
            <w:rPr>
              <w:b/>
              <w:bCs/>
            </w:rPr>
            <w:fldChar w:fldCharType="end"/>
          </w:r>
        </w:p>
      </w:sdtContent>
    </w:sdt>
    <w:p w:rsidR="002C0341" w:rsidRDefault="002C0341">
      <w:pPr>
        <w:rPr>
          <w:sz w:val="22"/>
          <w:lang w:val="en-US"/>
        </w:rPr>
      </w:pPr>
      <w:r>
        <w:rPr>
          <w:lang w:val="en-US"/>
        </w:rPr>
        <w:br w:type="page"/>
      </w:r>
    </w:p>
    <w:p w:rsidR="00810287" w:rsidRPr="0054324A" w:rsidRDefault="00810287" w:rsidP="00810287">
      <w:pPr>
        <w:pStyle w:val="Rubrik1"/>
      </w:pPr>
      <w:bookmarkStart w:id="0" w:name="_Toc63236552"/>
      <w:r w:rsidRPr="0054324A">
        <w:lastRenderedPageBreak/>
        <w:t>Inledning</w:t>
      </w:r>
      <w:bookmarkEnd w:id="0"/>
    </w:p>
    <w:p w:rsidR="0048482D" w:rsidRPr="00BD3C5D" w:rsidRDefault="0048482D" w:rsidP="0048482D">
      <w:pPr>
        <w:pStyle w:val="Brdtext"/>
      </w:pPr>
      <w:r>
        <w:t>THE Impact Rankings r</w:t>
      </w:r>
      <w:r w:rsidR="00303641">
        <w:t>iktas mot de globala mål som FN:</w:t>
      </w:r>
      <w:r>
        <w:t>s generalförsamling beslutat om inom ramen för Agenda 203o.</w:t>
      </w:r>
      <w:r w:rsidR="00303641">
        <w:t xml:space="preserve"> </w:t>
      </w:r>
      <w:r>
        <w:t>För att delta i den totala rankningen krävs att respektive universitet rapporterar</w:t>
      </w:r>
      <w:r w:rsidR="00F7445D">
        <w:t xml:space="preserve"> in data för det globala målet </w:t>
      </w:r>
      <w:r>
        <w:t xml:space="preserve">17 </w:t>
      </w:r>
      <w:r w:rsidRPr="00BB0388">
        <w:t xml:space="preserve">Partnership for the </w:t>
      </w:r>
      <w:proofErr w:type="spellStart"/>
      <w:r w:rsidRPr="00BB0388">
        <w:t>Goals</w:t>
      </w:r>
      <w:proofErr w:type="spellEnd"/>
      <w:r>
        <w:t xml:space="preserve"> samt ytterligare tre globala mål. Ett antal universitet har endast lämnat in data för enstaka globala mål och har därmed inte deltagit i den totala rankningen. Lärosätet måste också bedriva undervisning på kandidatnivå och vara ackrediterat. Noterbart är att det finns en viss diskrepans mellan FN:s globala mål såsom de definieras av FN och som de uttolkas av THE. </w:t>
      </w:r>
    </w:p>
    <w:p w:rsidR="0054324A" w:rsidRDefault="008A3E4A" w:rsidP="00435F5F">
      <w:pPr>
        <w:pStyle w:val="Brdtext"/>
      </w:pPr>
      <w:r>
        <w:t>Sammantaget 859 institutioner lämnade in data för 2020 års upplaga av rankningen. Allt som allt rankades 766 lärosäten i den totala rankningen och har sålunda lämnat in underlag för minst fyra av de 1</w:t>
      </w:r>
      <w:r w:rsidR="00F7445D">
        <w:t>7 globala målen.</w:t>
      </w:r>
      <w:r>
        <w:t xml:space="preserve"> Det är mycket jämnt sett till resultat både för rankningen som helhet och för respektive globalt mål</w:t>
      </w:r>
      <w:r w:rsidR="00F7445D">
        <w:t>.</w:t>
      </w:r>
      <w:r>
        <w:t xml:space="preserve"> Decimaler har betydelse redan bland topp tio. Detta medför att skillnaden mellan universiteten i realiteten är mindre än om man rankar dem enligt en ligatabell från placering 1 till 766.</w:t>
      </w:r>
      <w:r w:rsidR="006358B4">
        <w:rPr>
          <w:rStyle w:val="Fotnotsreferens"/>
        </w:rPr>
        <w:footnoteReference w:id="1"/>
      </w:r>
      <w:r>
        <w:t xml:space="preserve"> </w:t>
      </w:r>
    </w:p>
    <w:p w:rsidR="008A3E4A" w:rsidRDefault="008A3E4A" w:rsidP="00435F5F">
      <w:pPr>
        <w:pStyle w:val="Brdtext"/>
      </w:pPr>
    </w:p>
    <w:p w:rsidR="00810287" w:rsidRDefault="00810287" w:rsidP="00810287">
      <w:pPr>
        <w:pStyle w:val="Rubrik1"/>
      </w:pPr>
      <w:bookmarkStart w:id="1" w:name="_Toc63236553"/>
      <w:r>
        <w:t>Metodik</w:t>
      </w:r>
      <w:bookmarkEnd w:id="1"/>
    </w:p>
    <w:p w:rsidR="002C0341" w:rsidRDefault="00C4684B" w:rsidP="00435F5F">
      <w:pPr>
        <w:pStyle w:val="Brdtext"/>
      </w:pPr>
      <w:r>
        <w:t>Resultatet för den totala rankningen baseras på hur respektive lärosäte presterar inom globala målet</w:t>
      </w:r>
      <w:r w:rsidR="00A16B59">
        <w:t xml:space="preserve"> </w:t>
      </w:r>
      <w:r>
        <w:t xml:space="preserve">17 </w:t>
      </w:r>
      <w:r w:rsidRPr="00F27647">
        <w:t xml:space="preserve">Partnership for the </w:t>
      </w:r>
      <w:proofErr w:type="spellStart"/>
      <w:r w:rsidRPr="00F27647">
        <w:t>Goals</w:t>
      </w:r>
      <w:proofErr w:type="spellEnd"/>
      <w:r>
        <w:t>, som är obligatoriskt och viktad 22 procent, samt de tre främsta resultaten för övriga globala mål där lärosätet har rapporterat in data, där respektive mål</w:t>
      </w:r>
      <w:r w:rsidR="000B41B0">
        <w:t xml:space="preserve"> </w:t>
      </w:r>
      <w:r>
        <w:t xml:space="preserve">viktas 26 procent. </w:t>
      </w:r>
      <w:r w:rsidR="002F1FFA">
        <w:t xml:space="preserve">Metodiken får </w:t>
      </w:r>
      <w:r w:rsidR="0011297E">
        <w:t>konsekvensen</w:t>
      </w:r>
      <w:r w:rsidR="002F1FFA">
        <w:t xml:space="preserve"> att rankningen är instabil med ovanligt stora skiftningar.</w:t>
      </w:r>
      <w:r w:rsidR="003944D3">
        <w:t xml:space="preserve"> </w:t>
      </w:r>
      <w:r w:rsidR="006D73CD">
        <w:t>Rank</w:t>
      </w:r>
      <w:r w:rsidR="00AA14C7">
        <w:t>n</w:t>
      </w:r>
      <w:r w:rsidR="006D73CD">
        <w:t xml:space="preserve">ingen består </w:t>
      </w:r>
      <w:r w:rsidR="00601510">
        <w:t xml:space="preserve">totalt </w:t>
      </w:r>
      <w:r w:rsidR="006D73CD">
        <w:t>av 223 indikatorer.</w:t>
      </w:r>
      <w:r w:rsidR="004A024D">
        <w:t xml:space="preserve"> För att</w:t>
      </w:r>
      <w:r w:rsidR="000A6BBE">
        <w:t xml:space="preserve"> </w:t>
      </w:r>
      <w:r w:rsidR="004A024D">
        <w:t>räkna fram poängen används Z scores.</w:t>
      </w:r>
    </w:p>
    <w:p w:rsidR="002C0341" w:rsidRPr="002C0341" w:rsidRDefault="002C0341" w:rsidP="002C0341">
      <w:pPr>
        <w:pStyle w:val="Rubrik4"/>
      </w:pPr>
      <w:r w:rsidRPr="002C0341">
        <w:t>Bibliometri</w:t>
      </w:r>
    </w:p>
    <w:p w:rsidR="00556B6D" w:rsidRDefault="00C4684B" w:rsidP="00435F5F">
      <w:pPr>
        <w:pStyle w:val="Brdtext"/>
      </w:pPr>
      <w:r>
        <w:t xml:space="preserve">Bibliometri utgör drygt en fjärdedel av indikatorerna, det vill säga: fältnormerad citeringsgrad, andel publikationer bland de tio procent högst citerade tidskrifterna enligt </w:t>
      </w:r>
      <w:proofErr w:type="spellStart"/>
      <w:r>
        <w:t>Citescore</w:t>
      </w:r>
      <w:proofErr w:type="spellEnd"/>
      <w:r>
        <w:t>, publikationsvolym, sampublicering med forskare från utvecklingsländer, andel artiklar skrivna av kvinnor, antal och andel artiklar som behandlar jämställdhet och antal nedladdningar av publikationer som berör hållbarhet samt antal patent som citerar publicerad forskning. Valet av bibliometriska indikatorer varierar från mål till mål</w:t>
      </w:r>
      <w:r w:rsidR="00905671">
        <w:t xml:space="preserve">. </w:t>
      </w:r>
    </w:p>
    <w:p w:rsidR="00C4684B" w:rsidRDefault="00C4684B" w:rsidP="00C4684B">
      <w:pPr>
        <w:pStyle w:val="Brdtext"/>
      </w:pPr>
      <w:r>
        <w:t xml:space="preserve">Underlaget (bortsett från andel artiklar skrivna av kvinnor och sampublicering samt patent) baseras på en metod som tagits fram av Elsevier och redovisas i Elseviers </w:t>
      </w:r>
      <w:proofErr w:type="spellStart"/>
      <w:r>
        <w:t>Sustainability</w:t>
      </w:r>
      <w:proofErr w:type="spellEnd"/>
      <w:r>
        <w:t xml:space="preserve"> </w:t>
      </w:r>
      <w:proofErr w:type="spellStart"/>
      <w:r>
        <w:t>Report</w:t>
      </w:r>
      <w:proofErr w:type="spellEnd"/>
      <w:r>
        <w:t>. Elsevier mäter hur många av lärosätets publikationer som berör FN:s globala mål. Underlaget tas ur Scopus och innevarande rankning baseras på det publiceringsmässiga femårsfönstret 2014-2018.</w:t>
      </w:r>
    </w:p>
    <w:p w:rsidR="002C0341" w:rsidRPr="002C0341" w:rsidRDefault="002C0341" w:rsidP="002C0341">
      <w:pPr>
        <w:pStyle w:val="Rubrik4"/>
      </w:pPr>
      <w:r w:rsidRPr="002C0341">
        <w:t>Egenrapporterat material</w:t>
      </w:r>
    </w:p>
    <w:p w:rsidR="00C4684B" w:rsidRPr="00BA015B" w:rsidRDefault="00C4684B" w:rsidP="00C4684B">
      <w:pPr>
        <w:pStyle w:val="Brdtext"/>
      </w:pPr>
      <w:r>
        <w:t>Resterande material består av uppgifter som respektive lärosäte själv rapporterat in såsom ekonomiska uppgifter, antal anst</w:t>
      </w:r>
      <w:r w:rsidR="00F7445D">
        <w:t>ällda, antal studenter, policys</w:t>
      </w:r>
      <w:r>
        <w:t xml:space="preserve">/ riktlinjer, rutiner, energiförbrukning etc. Drygt en fjärdedel berör andelsmått, en femtedel per capitamått och resterande uppgifter bestående av bedömningar av texter som redovisas genom </w:t>
      </w:r>
      <w:proofErr w:type="spellStart"/>
      <w:r>
        <w:t>urlar</w:t>
      </w:r>
      <w:proofErr w:type="spellEnd"/>
      <w:r>
        <w:t xml:space="preserve"> eller </w:t>
      </w:r>
      <w:proofErr w:type="spellStart"/>
      <w:r>
        <w:t>pdf:er</w:t>
      </w:r>
      <w:proofErr w:type="spellEnd"/>
      <w:r>
        <w:t xml:space="preserve">. Texterna har betygssatts enligt skalan: 1 poäng om innehållet är mycket relevant och publikt, 0,5 poäng om innehållet är relevant och publikt och 0 poäng om innehållet inte är </w:t>
      </w:r>
      <w:r>
        <w:lastRenderedPageBreak/>
        <w:t>relevant. Här föreligger givetvis risk för subjektiva tolkningar hos den som granskar materialet.</w:t>
      </w:r>
      <w:r>
        <w:rPr>
          <w:rStyle w:val="Fotnotsreferens"/>
        </w:rPr>
        <w:footnoteReference w:id="2"/>
      </w:r>
    </w:p>
    <w:p w:rsidR="007028BD" w:rsidRDefault="00F27F3E" w:rsidP="00F27F3E">
      <w:pPr>
        <w:pStyle w:val="Brdtext"/>
      </w:pPr>
      <w:r>
        <w:t xml:space="preserve">Rankningen tenderar att premiera insatser som görs </w:t>
      </w:r>
      <w:r w:rsidR="002D4345">
        <w:t>av universitetet på</w:t>
      </w:r>
      <w:r>
        <w:t xml:space="preserve"> eget initiativ och </w:t>
      </w:r>
      <w:r w:rsidR="002D4345">
        <w:t>i egen regi</w:t>
      </w:r>
      <w:r>
        <w:t xml:space="preserve"> snarare än åtgärder som beslutats via lagstiftning och/ eller genomförs i offentlig regi. Exempel på detta är att det är bättre att ha egna </w:t>
      </w:r>
      <w:r w:rsidR="002D4345">
        <w:t>riktlinjer/</w:t>
      </w:r>
      <w:r w:rsidR="00D84653">
        <w:t xml:space="preserve"> </w:t>
      </w:r>
      <w:r w:rsidR="002D4345">
        <w:t>policys</w:t>
      </w:r>
      <w:r>
        <w:t xml:space="preserve"> än att hä</w:t>
      </w:r>
      <w:r w:rsidR="002D4345">
        <w:t>nvisa</w:t>
      </w:r>
      <w:r>
        <w:t xml:space="preserve"> till befintlig lagstiftning</w:t>
      </w:r>
      <w:r w:rsidR="007028BD">
        <w:t xml:space="preserve"> samt att </w:t>
      </w:r>
      <w:r w:rsidR="004A367D">
        <w:t>det exempelvis är</w:t>
      </w:r>
      <w:r w:rsidR="007028BD">
        <w:t xml:space="preserve"> </w:t>
      </w:r>
      <w:r w:rsidR="00775A5A">
        <w:t>mer fördelaktigt</w:t>
      </w:r>
      <w:r w:rsidR="007028BD">
        <w:t xml:space="preserve"> att ha en egen vattenanläggning eller </w:t>
      </w:r>
      <w:r w:rsidR="002D4345">
        <w:t xml:space="preserve">att ha </w:t>
      </w:r>
      <w:r w:rsidR="007028BD">
        <w:t>en egen förskola än en offentlig</w:t>
      </w:r>
      <w:r>
        <w:t>.</w:t>
      </w:r>
      <w:r w:rsidR="00303641">
        <w:t xml:space="preserve"> Rank</w:t>
      </w:r>
      <w:r w:rsidR="00473648">
        <w:t>n</w:t>
      </w:r>
      <w:r w:rsidR="00303641">
        <w:t xml:space="preserve">ingen bygger på </w:t>
      </w:r>
      <w:r w:rsidR="006358B4">
        <w:t>maximen</w:t>
      </w:r>
      <w:r w:rsidR="00303641">
        <w:t xml:space="preserve"> att lagstiftningen utmynnar i en särskild policy eller riktlinje</w:t>
      </w:r>
      <w:r w:rsidR="00DF093A">
        <w:t xml:space="preserve"> som därefter </w:t>
      </w:r>
      <w:r w:rsidR="006358B4">
        <w:t>omsätts</w:t>
      </w:r>
      <w:r w:rsidR="00DF093A">
        <w:t xml:space="preserve"> i praktiken</w:t>
      </w:r>
      <w:r w:rsidR="006358B4">
        <w:t xml:space="preserve"> med reella åtgärder</w:t>
      </w:r>
      <w:r w:rsidR="00303641">
        <w:t>.</w:t>
      </w:r>
      <w:r>
        <w:t xml:space="preserve"> En annan problematik är att svensk lagstiftning söker säkerställa lika rättigheter för samtliga medborgare, snarare än att säkerställa positiv särbehandling för olika grupper, vilket är ett tillvägagångsätt som denna rankning </w:t>
      </w:r>
      <w:r w:rsidR="00031906">
        <w:t>premierar</w:t>
      </w:r>
      <w:r>
        <w:t xml:space="preserve">. </w:t>
      </w:r>
    </w:p>
    <w:p w:rsidR="00C4684B" w:rsidRDefault="00C4684B" w:rsidP="00C4684B">
      <w:pPr>
        <w:pStyle w:val="Brdtext"/>
      </w:pPr>
      <w:r>
        <w:t>I egenskap av ett forskningstungt tekniskt universitet har KTH svårt att hävda sig inom områden/ globala mål som ligger utanför den direkta kärnverksamheten sett till forskning och utbildning. Rankningen gynnar bredduniversitet snarare än fackuniversitet.</w:t>
      </w:r>
    </w:p>
    <w:p w:rsidR="00324B38" w:rsidRDefault="00C4684B" w:rsidP="00EC05C9">
      <w:pPr>
        <w:pStyle w:val="Brdtext"/>
      </w:pPr>
      <w:r w:rsidRPr="00981BCF">
        <w:t>I föreliggande</w:t>
      </w:r>
      <w:r w:rsidRPr="00981BCF">
        <w:rPr>
          <w:b/>
        </w:rPr>
        <w:t xml:space="preserve"> </w:t>
      </w:r>
      <w:r w:rsidRPr="00981BCF">
        <w:t>benchmarking kommer KTH att jämföras med Aalto,</w:t>
      </w:r>
      <w:r w:rsidRPr="007936D6">
        <w:t xml:space="preserve"> </w:t>
      </w:r>
      <w:r w:rsidRPr="00981BCF">
        <w:t>Auckland University of Technology</w:t>
      </w:r>
      <w:r>
        <w:t xml:space="preserve">, </w:t>
      </w:r>
      <w:r w:rsidRPr="00981BCF">
        <w:t>Bergen</w:t>
      </w:r>
      <w:r>
        <w:t>, Delft,</w:t>
      </w:r>
      <w:r w:rsidRPr="00981BCF">
        <w:t xml:space="preserve"> École Polytechnique</w:t>
      </w:r>
      <w:r>
        <w:t xml:space="preserve">, </w:t>
      </w:r>
      <w:r w:rsidRPr="00981BCF">
        <w:t>Göteborgs universitet</w:t>
      </w:r>
      <w:r>
        <w:t>, Imperial College, MIT,</w:t>
      </w:r>
      <w:r w:rsidRPr="00981BCF">
        <w:t xml:space="preserve"> Queensland </w:t>
      </w:r>
      <w:proofErr w:type="spellStart"/>
      <w:r w:rsidRPr="00981BCF">
        <w:t>university</w:t>
      </w:r>
      <w:proofErr w:type="spellEnd"/>
      <w:r w:rsidRPr="00981BCF">
        <w:t xml:space="preserve"> of Technology, </w:t>
      </w:r>
      <w:proofErr w:type="spellStart"/>
      <w:r w:rsidRPr="00981BCF">
        <w:t>Strathclyde</w:t>
      </w:r>
      <w:proofErr w:type="spellEnd"/>
      <w:r>
        <w:t>,</w:t>
      </w:r>
      <w:r w:rsidRPr="00981BCF">
        <w:t xml:space="preserve"> Trinity College</w:t>
      </w:r>
      <w:r>
        <w:t xml:space="preserve">, </w:t>
      </w:r>
      <w:proofErr w:type="spellStart"/>
      <w:r w:rsidRPr="00D65D96">
        <w:t>Universitat</w:t>
      </w:r>
      <w:proofErr w:type="spellEnd"/>
      <w:r w:rsidRPr="00D65D96">
        <w:t xml:space="preserve"> </w:t>
      </w:r>
      <w:proofErr w:type="spellStart"/>
      <w:r w:rsidRPr="00D65D96">
        <w:t>Politècnica</w:t>
      </w:r>
      <w:proofErr w:type="spellEnd"/>
      <w:r w:rsidRPr="00D65D96">
        <w:t xml:space="preserve"> de </w:t>
      </w:r>
      <w:proofErr w:type="spellStart"/>
      <w:r w:rsidRPr="00D65D96">
        <w:t>Catalunya</w:t>
      </w:r>
      <w:proofErr w:type="spellEnd"/>
      <w:r w:rsidRPr="00D65D96">
        <w:t xml:space="preserve"> </w:t>
      </w:r>
      <w:r>
        <w:t>(</w:t>
      </w:r>
      <w:r w:rsidRPr="00981BCF">
        <w:t>UPC</w:t>
      </w:r>
      <w:r>
        <w:t>)</w:t>
      </w:r>
      <w:r w:rsidRPr="00981BCF">
        <w:t>, Waterloo</w:t>
      </w:r>
      <w:r>
        <w:t xml:space="preserve"> och </w:t>
      </w:r>
      <w:r w:rsidRPr="00981BCF">
        <w:t xml:space="preserve">Ålborg. </w:t>
      </w:r>
      <w:r>
        <w:t xml:space="preserve">Samtliga universitet återkommer inte under varje globalt mål då de inte lämnat in data under samtliga mål. Ett annat urvalskriterium har varit att jämförelsen endast omfattar de områden där KTH lämnat in material 2019. </w:t>
      </w:r>
      <w:r w:rsidR="00324B38">
        <w:t xml:space="preserve"> </w:t>
      </w:r>
    </w:p>
    <w:p w:rsidR="001D5EF5" w:rsidRDefault="001D5EF5" w:rsidP="00EC05C9">
      <w:pPr>
        <w:pStyle w:val="Brdtext"/>
      </w:pPr>
      <w:r>
        <w:t>Resultatet kommer dels</w:t>
      </w:r>
      <w:r w:rsidR="00CC098C">
        <w:t>, mycket kortfattat,</w:t>
      </w:r>
      <w:r>
        <w:t xml:space="preserve"> presenteras i denna rapport samt i </w:t>
      </w:r>
      <w:r w:rsidR="0020604D">
        <w:t xml:space="preserve">en separat </w:t>
      </w:r>
      <w:proofErr w:type="spellStart"/>
      <w:r w:rsidR="0020604D">
        <w:t>excellbok</w:t>
      </w:r>
      <w:proofErr w:type="spellEnd"/>
      <w:r w:rsidR="0020604D">
        <w:t>,</w:t>
      </w:r>
      <w:r w:rsidR="001C63AB">
        <w:t xml:space="preserve"> där samtliga jämförelseuniversitets</w:t>
      </w:r>
      <w:r>
        <w:t xml:space="preserve"> resultat redovisas under respektive </w:t>
      </w:r>
      <w:r w:rsidR="004E7CDE">
        <w:t>mål</w:t>
      </w:r>
      <w:r w:rsidR="001C63AB">
        <w:t>, indikator och underindikator.</w:t>
      </w:r>
      <w:r w:rsidR="00F816C7">
        <w:t xml:space="preserve"> I </w:t>
      </w:r>
      <w:proofErr w:type="spellStart"/>
      <w:r w:rsidR="00F816C7">
        <w:t>excellboken</w:t>
      </w:r>
      <w:proofErr w:type="spellEnd"/>
      <w:r w:rsidR="00F816C7">
        <w:t xml:space="preserve"> redovisas mycket bra resultat i grön färg (mer än 80 poäng), relativt bra resultat i gult (40-80 poäng) och svaga resultat i rött (0-40 poäng).</w:t>
      </w:r>
    </w:p>
    <w:p w:rsidR="00EC05C9" w:rsidRDefault="00775A5A" w:rsidP="00EC05C9">
      <w:pPr>
        <w:pStyle w:val="Brdtext"/>
      </w:pPr>
      <w:r>
        <w:t>Notabelt</w:t>
      </w:r>
      <w:r w:rsidR="00324B38">
        <w:t xml:space="preserve"> är att i THE:s benchmarkingprogram framgår poängen för respektive indikator och underindikator, men det framgår </w:t>
      </w:r>
      <w:r>
        <w:t xml:space="preserve">dessvärre </w:t>
      </w:r>
      <w:r w:rsidR="00324B38">
        <w:t xml:space="preserve">inte </w:t>
      </w:r>
      <w:r w:rsidR="00CC098C">
        <w:t xml:space="preserve">alls </w:t>
      </w:r>
      <w:r w:rsidR="00324B38">
        <w:t xml:space="preserve">vad respektive universitet </w:t>
      </w:r>
      <w:r>
        <w:t>svarat på respektive fråga</w:t>
      </w:r>
      <w:r w:rsidR="00CC098C">
        <w:t xml:space="preserve"> vare sig sett till siffror eller text</w:t>
      </w:r>
      <w:r>
        <w:t>.</w:t>
      </w:r>
      <w:r w:rsidR="00F62467">
        <w:t xml:space="preserve"> </w:t>
      </w:r>
      <w:r w:rsidR="0020604D">
        <w:t xml:space="preserve">Låga poäng kan lika gärna bero på avsaknad av uppgifter och dokumentation eller missförstånd sett till </w:t>
      </w:r>
      <w:r w:rsidR="00584CF6">
        <w:t>in</w:t>
      </w:r>
      <w:r w:rsidR="00303641">
        <w:t xml:space="preserve">rapportering eller att redovisad </w:t>
      </w:r>
      <w:proofErr w:type="spellStart"/>
      <w:r w:rsidR="00303641">
        <w:t>url</w:t>
      </w:r>
      <w:proofErr w:type="spellEnd"/>
      <w:r w:rsidR="00303641">
        <w:t xml:space="preserve"> inte fungerade vid granskningstillfället.</w:t>
      </w:r>
      <w:r w:rsidR="0020604D">
        <w:t xml:space="preserve"> </w:t>
      </w:r>
      <w:r>
        <w:t>D</w:t>
      </w:r>
      <w:r w:rsidR="00324B38">
        <w:t xml:space="preserve">et är </w:t>
      </w:r>
      <w:r w:rsidR="00F62467">
        <w:t>alltså</w:t>
      </w:r>
      <w:r w:rsidR="00324B38">
        <w:t xml:space="preserve"> inte möjligt att dra några </w:t>
      </w:r>
      <w:r>
        <w:t xml:space="preserve">långtgående </w:t>
      </w:r>
      <w:r w:rsidR="00324B38">
        <w:t xml:space="preserve">slutsatser om vare sig kvaliteten på det underlag som inrapporterats eller </w:t>
      </w:r>
      <w:r>
        <w:t xml:space="preserve">kvaliteten på </w:t>
      </w:r>
      <w:r w:rsidR="00324B38">
        <w:t>den verksamhet som bedrivs hos exempelvis MIT</w:t>
      </w:r>
      <w:r w:rsidR="00F62467">
        <w:t xml:space="preserve"> eller École </w:t>
      </w:r>
      <w:r>
        <w:t>Polytechnique</w:t>
      </w:r>
      <w:r w:rsidR="00324B38">
        <w:t xml:space="preserve">. </w:t>
      </w:r>
    </w:p>
    <w:p w:rsidR="00DB00D4" w:rsidRDefault="00DB00D4">
      <w:pPr>
        <w:rPr>
          <w:sz w:val="22"/>
        </w:rPr>
      </w:pPr>
      <w:r>
        <w:br w:type="page"/>
      </w:r>
    </w:p>
    <w:p w:rsidR="00324325" w:rsidRPr="007936D6" w:rsidRDefault="00BD38A4" w:rsidP="00EC05C9">
      <w:pPr>
        <w:pStyle w:val="Rubrik2"/>
        <w:rPr>
          <w:lang w:val="en-US"/>
        </w:rPr>
      </w:pPr>
      <w:bookmarkStart w:id="2" w:name="_Toc63236554"/>
      <w:r w:rsidRPr="00CE4BDF">
        <w:rPr>
          <w:lang w:val="en-US"/>
        </w:rPr>
        <w:lastRenderedPageBreak/>
        <w:t>Benchmarking</w:t>
      </w:r>
      <w:r w:rsidR="00156524" w:rsidRPr="00CE4BDF">
        <w:rPr>
          <w:lang w:val="en-US"/>
        </w:rPr>
        <w:t xml:space="preserve"> per SDG</w:t>
      </w:r>
      <w:bookmarkEnd w:id="2"/>
      <w:r w:rsidR="00156524" w:rsidRPr="00CE4BDF">
        <w:rPr>
          <w:lang w:val="en-US"/>
        </w:rPr>
        <w:t xml:space="preserve"> </w:t>
      </w:r>
    </w:p>
    <w:p w:rsidR="00156524" w:rsidRDefault="00156524" w:rsidP="00324325">
      <w:pPr>
        <w:pStyle w:val="Brdtext"/>
        <w:rPr>
          <w:lang w:val="en-US"/>
        </w:rPr>
      </w:pPr>
    </w:p>
    <w:p w:rsidR="004247B0" w:rsidRPr="006A7332" w:rsidRDefault="004247B0" w:rsidP="004247B0">
      <w:pPr>
        <w:pStyle w:val="Rubrik3"/>
        <w:rPr>
          <w:lang w:val="en-US"/>
        </w:rPr>
      </w:pPr>
      <w:bookmarkStart w:id="3" w:name="_Toc63236555"/>
      <w:r w:rsidRPr="006A7332">
        <w:rPr>
          <w:lang w:val="en-US"/>
        </w:rPr>
        <w:t>SDG 4 Quality Education</w:t>
      </w:r>
      <w:bookmarkEnd w:id="3"/>
    </w:p>
    <w:p w:rsidR="00DC6911" w:rsidRDefault="00F44AAE" w:rsidP="008D1DB1">
      <w:pPr>
        <w:pStyle w:val="Brdtext"/>
      </w:pPr>
      <w:proofErr w:type="spellStart"/>
      <w:r w:rsidRPr="001F7642">
        <w:rPr>
          <w:lang w:val="en-US"/>
        </w:rPr>
        <w:t>Samt</w:t>
      </w:r>
      <w:r w:rsidR="00F303EB" w:rsidRPr="001F7642">
        <w:rPr>
          <w:lang w:val="en-US"/>
        </w:rPr>
        <w:t>liga</w:t>
      </w:r>
      <w:proofErr w:type="spellEnd"/>
      <w:r w:rsidR="00F303EB" w:rsidRPr="001F7642">
        <w:rPr>
          <w:lang w:val="en-US"/>
        </w:rPr>
        <w:t xml:space="preserve"> </w:t>
      </w:r>
      <w:proofErr w:type="spellStart"/>
      <w:r w:rsidR="00F303EB" w:rsidRPr="001F7642">
        <w:rPr>
          <w:lang w:val="en-US"/>
        </w:rPr>
        <w:t>universitet</w:t>
      </w:r>
      <w:proofErr w:type="spellEnd"/>
      <w:r w:rsidR="00F303EB" w:rsidRPr="001F7642">
        <w:rPr>
          <w:lang w:val="en-US"/>
        </w:rPr>
        <w:t xml:space="preserve"> </w:t>
      </w:r>
      <w:proofErr w:type="spellStart"/>
      <w:r w:rsidR="00F303EB" w:rsidRPr="001F7642">
        <w:rPr>
          <w:lang w:val="en-US"/>
        </w:rPr>
        <w:t>i</w:t>
      </w:r>
      <w:proofErr w:type="spellEnd"/>
      <w:r w:rsidR="00F303EB" w:rsidRPr="001F7642">
        <w:rPr>
          <w:lang w:val="en-US"/>
        </w:rPr>
        <w:t xml:space="preserve"> </w:t>
      </w:r>
      <w:proofErr w:type="spellStart"/>
      <w:r w:rsidR="00F303EB" w:rsidRPr="001F7642">
        <w:rPr>
          <w:lang w:val="en-US"/>
        </w:rPr>
        <w:t>jämförelsegruppen</w:t>
      </w:r>
      <w:proofErr w:type="spellEnd"/>
      <w:r w:rsidR="00F303EB" w:rsidRPr="001F7642">
        <w:rPr>
          <w:lang w:val="en-US"/>
        </w:rPr>
        <w:t xml:space="preserve"> </w:t>
      </w:r>
      <w:proofErr w:type="spellStart"/>
      <w:r w:rsidR="00F303EB" w:rsidRPr="001F7642">
        <w:rPr>
          <w:lang w:val="en-US"/>
        </w:rPr>
        <w:t>presterar</w:t>
      </w:r>
      <w:proofErr w:type="spellEnd"/>
      <w:r w:rsidR="00F303EB" w:rsidRPr="001F7642">
        <w:rPr>
          <w:lang w:val="en-US"/>
        </w:rPr>
        <w:t xml:space="preserve"> </w:t>
      </w:r>
      <w:proofErr w:type="spellStart"/>
      <w:r w:rsidR="00F303EB" w:rsidRPr="001F7642">
        <w:rPr>
          <w:lang w:val="en-US"/>
        </w:rPr>
        <w:t>bättre</w:t>
      </w:r>
      <w:proofErr w:type="spellEnd"/>
      <w:r w:rsidR="00F303EB" w:rsidRPr="001F7642">
        <w:rPr>
          <w:lang w:val="en-US"/>
        </w:rPr>
        <w:t xml:space="preserve"> </w:t>
      </w:r>
      <w:proofErr w:type="spellStart"/>
      <w:proofErr w:type="gramStart"/>
      <w:r w:rsidR="00F303EB" w:rsidRPr="001F7642">
        <w:rPr>
          <w:lang w:val="en-US"/>
        </w:rPr>
        <w:t>än</w:t>
      </w:r>
      <w:proofErr w:type="spellEnd"/>
      <w:proofErr w:type="gramEnd"/>
      <w:r w:rsidR="00F303EB" w:rsidRPr="001F7642">
        <w:rPr>
          <w:lang w:val="en-US"/>
        </w:rPr>
        <w:t xml:space="preserve"> KTH sett till</w:t>
      </w:r>
      <w:r w:rsidR="001F7642" w:rsidRPr="001F7642">
        <w:rPr>
          <w:lang w:val="en-US"/>
        </w:rPr>
        <w:t xml:space="preserve"> </w:t>
      </w:r>
      <w:r w:rsidR="001F7642">
        <w:rPr>
          <w:lang w:val="en-US"/>
        </w:rPr>
        <w:t xml:space="preserve">de </w:t>
      </w:r>
      <w:proofErr w:type="spellStart"/>
      <w:r w:rsidR="001F7642">
        <w:rPr>
          <w:lang w:val="en-US"/>
        </w:rPr>
        <w:t>tre</w:t>
      </w:r>
      <w:proofErr w:type="spellEnd"/>
      <w:r w:rsidR="00F303EB" w:rsidRPr="001F7642">
        <w:rPr>
          <w:lang w:val="en-US"/>
        </w:rPr>
        <w:t xml:space="preserve"> </w:t>
      </w:r>
      <w:proofErr w:type="spellStart"/>
      <w:r w:rsidR="00172E67" w:rsidRPr="001F7642">
        <w:rPr>
          <w:lang w:val="en-US"/>
        </w:rPr>
        <w:t>indikatorerna</w:t>
      </w:r>
      <w:proofErr w:type="spellEnd"/>
      <w:r w:rsidR="00367505">
        <w:rPr>
          <w:lang w:val="en-US"/>
        </w:rPr>
        <w:t>:</w:t>
      </w:r>
      <w:r w:rsidR="00F303EB" w:rsidRPr="00172E67">
        <w:rPr>
          <w:lang w:val="en-US"/>
        </w:rPr>
        <w:t xml:space="preserve"> </w:t>
      </w:r>
      <w:r w:rsidR="00F303EB" w:rsidRPr="0018125A">
        <w:rPr>
          <w:i/>
          <w:lang w:val="en-US"/>
        </w:rPr>
        <w:t>Research on early years and lifelong learning education</w:t>
      </w:r>
      <w:r w:rsidR="00FC02AB" w:rsidRPr="00172E67">
        <w:rPr>
          <w:lang w:val="en-US"/>
        </w:rPr>
        <w:t xml:space="preserve">, </w:t>
      </w:r>
      <w:r w:rsidR="00FC02AB" w:rsidRPr="0018125A">
        <w:rPr>
          <w:i/>
          <w:lang w:val="en-US"/>
        </w:rPr>
        <w:t>Proportion of first-generation students</w:t>
      </w:r>
      <w:r w:rsidR="008D1DB1" w:rsidRPr="00172E67">
        <w:rPr>
          <w:lang w:val="en-US"/>
        </w:rPr>
        <w:t xml:space="preserve"> </w:t>
      </w:r>
      <w:proofErr w:type="spellStart"/>
      <w:r w:rsidR="00FC02AB" w:rsidRPr="00172E67">
        <w:rPr>
          <w:lang w:val="en-US"/>
        </w:rPr>
        <w:t>och</w:t>
      </w:r>
      <w:proofErr w:type="spellEnd"/>
      <w:r w:rsidR="008D1DB1" w:rsidRPr="00172E67">
        <w:rPr>
          <w:lang w:val="en-US"/>
        </w:rPr>
        <w:t xml:space="preserve"> </w:t>
      </w:r>
      <w:r w:rsidR="008D1DB1" w:rsidRPr="0018125A">
        <w:rPr>
          <w:i/>
          <w:lang w:val="en-US"/>
        </w:rPr>
        <w:t>Proportion of graduates with teaching qualification</w:t>
      </w:r>
      <w:r w:rsidR="00FC02AB" w:rsidRPr="001F7642">
        <w:rPr>
          <w:lang w:val="en-US"/>
        </w:rPr>
        <w:t xml:space="preserve">. </w:t>
      </w:r>
      <w:r w:rsidR="00FC02AB">
        <w:t xml:space="preserve">Förklaringen </w:t>
      </w:r>
      <w:r w:rsidR="00A01D5F">
        <w:t>här</w:t>
      </w:r>
      <w:r w:rsidR="00FC02AB">
        <w:t xml:space="preserve">till står </w:t>
      </w:r>
      <w:r w:rsidR="00871D9D">
        <w:t xml:space="preserve">att finna </w:t>
      </w:r>
      <w:r w:rsidR="00FC02AB">
        <w:t>i att KTH inte bedriver någon omfattande forsknin</w:t>
      </w:r>
      <w:r w:rsidR="00A01D5F">
        <w:t>g inom</w:t>
      </w:r>
      <w:r w:rsidR="00FC02AB">
        <w:t xml:space="preserve"> detta</w:t>
      </w:r>
      <w:r w:rsidR="00A01D5F">
        <w:t xml:space="preserve"> område</w:t>
      </w:r>
      <w:r w:rsidR="00F71739">
        <w:t xml:space="preserve">, </w:t>
      </w:r>
      <w:r w:rsidR="00367505">
        <w:t xml:space="preserve">att Sverige </w:t>
      </w:r>
      <w:r w:rsidR="00FC02AB">
        <w:t>har en</w:t>
      </w:r>
      <w:r w:rsidR="00F71739">
        <w:t xml:space="preserve"> hög andel utbildad befolkning där barn från utbildade hem läser vidare samt</w:t>
      </w:r>
      <w:r w:rsidR="00AB47E7">
        <w:t>, inte minst,</w:t>
      </w:r>
      <w:r w:rsidR="00F71739">
        <w:t xml:space="preserve"> </w:t>
      </w:r>
      <w:r w:rsidR="00CC098C">
        <w:t xml:space="preserve">att </w:t>
      </w:r>
      <w:r w:rsidR="00F71739">
        <w:t>vi</w:t>
      </w:r>
      <w:r w:rsidR="001C63AB">
        <w:t xml:space="preserve"> vid sidan av tekniklärarprogrammet</w:t>
      </w:r>
      <w:r w:rsidR="00F71739">
        <w:t xml:space="preserve"> inte bedriver någon lärarutbildning som är riktad mot grundskolan.</w:t>
      </w:r>
    </w:p>
    <w:p w:rsidR="004247B0" w:rsidRPr="006530EF" w:rsidRDefault="008D1DB1" w:rsidP="008D1DB1">
      <w:pPr>
        <w:pStyle w:val="Brdtext"/>
      </w:pPr>
      <w:r>
        <w:t xml:space="preserve">Sett till </w:t>
      </w:r>
      <w:proofErr w:type="spellStart"/>
      <w:r w:rsidRPr="0018125A">
        <w:rPr>
          <w:i/>
        </w:rPr>
        <w:t>Liflong</w:t>
      </w:r>
      <w:proofErr w:type="spellEnd"/>
      <w:r w:rsidRPr="0018125A">
        <w:rPr>
          <w:i/>
        </w:rPr>
        <w:t xml:space="preserve"> </w:t>
      </w:r>
      <w:proofErr w:type="spellStart"/>
      <w:r w:rsidRPr="0018125A">
        <w:rPr>
          <w:i/>
        </w:rPr>
        <w:t>learning</w:t>
      </w:r>
      <w:proofErr w:type="spellEnd"/>
      <w:r w:rsidRPr="0018125A">
        <w:rPr>
          <w:i/>
        </w:rPr>
        <w:t xml:space="preserve"> </w:t>
      </w:r>
      <w:proofErr w:type="spellStart"/>
      <w:r w:rsidRPr="0018125A">
        <w:rPr>
          <w:i/>
        </w:rPr>
        <w:t>measur</w:t>
      </w:r>
      <w:r w:rsidR="00DC6911" w:rsidRPr="0018125A">
        <w:rPr>
          <w:i/>
        </w:rPr>
        <w:t>e</w:t>
      </w:r>
      <w:r w:rsidRPr="0018125A">
        <w:rPr>
          <w:i/>
        </w:rPr>
        <w:t>s</w:t>
      </w:r>
      <w:proofErr w:type="spellEnd"/>
      <w:r>
        <w:t xml:space="preserve"> preste</w:t>
      </w:r>
      <w:r w:rsidR="001C63AB">
        <w:t>rar KTH i samklang med Göteborg</w:t>
      </w:r>
      <w:r>
        <w:t xml:space="preserve"> </w:t>
      </w:r>
      <w:r w:rsidR="001C63AB">
        <w:t>och Bergen</w:t>
      </w:r>
      <w:r w:rsidR="00DC6911">
        <w:t xml:space="preserve">. </w:t>
      </w:r>
      <w:r w:rsidR="00360B42">
        <w:t xml:space="preserve">De övriga universiteten fick </w:t>
      </w:r>
      <w:r w:rsidR="0018125A">
        <w:t xml:space="preserve">ett </w:t>
      </w:r>
      <w:r w:rsidR="00360B42">
        <w:t xml:space="preserve">bättre utfall. </w:t>
      </w:r>
      <w:r w:rsidR="00D83714">
        <w:t xml:space="preserve">KTH fick sämre värden på grund av att vi inte har någon policy/ riktlinje för att säkerställa att dessa aktiviteter är öppna för </w:t>
      </w:r>
      <w:r w:rsidR="001C63AB">
        <w:t>allmänheten</w:t>
      </w:r>
      <w:r w:rsidR="00D83714">
        <w:t xml:space="preserve">. </w:t>
      </w:r>
    </w:p>
    <w:p w:rsidR="00FC02AB" w:rsidRPr="008D1DB1" w:rsidRDefault="001C63AB" w:rsidP="008D1DB1">
      <w:pPr>
        <w:pStyle w:val="Brdtext"/>
      </w:pPr>
      <w:r>
        <w:t xml:space="preserve">Ålborg </w:t>
      </w:r>
      <w:r w:rsidR="00FC02AB">
        <w:t xml:space="preserve">presterar mycket starkt inom </w:t>
      </w:r>
      <w:r w:rsidR="004E7CDE">
        <w:t>detta mål</w:t>
      </w:r>
      <w:r w:rsidR="00FC02AB">
        <w:t xml:space="preserve">. </w:t>
      </w:r>
    </w:p>
    <w:p w:rsidR="004247B0" w:rsidRPr="008D1DB1" w:rsidRDefault="004247B0" w:rsidP="00324325">
      <w:pPr>
        <w:pStyle w:val="Brdtext"/>
      </w:pPr>
    </w:p>
    <w:p w:rsidR="003C507B" w:rsidRPr="006A7332" w:rsidRDefault="00324325" w:rsidP="00CE4BDF">
      <w:pPr>
        <w:pStyle w:val="Rubrik3"/>
      </w:pPr>
      <w:bookmarkStart w:id="4" w:name="_Toc63236556"/>
      <w:r w:rsidRPr="006A7332">
        <w:t>SDG 5</w:t>
      </w:r>
      <w:r w:rsidR="00AF18C7" w:rsidRPr="006A7332">
        <w:t xml:space="preserve"> Gender </w:t>
      </w:r>
      <w:proofErr w:type="spellStart"/>
      <w:r w:rsidR="00AF18C7" w:rsidRPr="006A7332">
        <w:t>Equality</w:t>
      </w:r>
      <w:bookmarkEnd w:id="4"/>
      <w:proofErr w:type="spellEnd"/>
    </w:p>
    <w:p w:rsidR="002C12D2" w:rsidRDefault="00C4628C" w:rsidP="003C507B">
      <w:pPr>
        <w:pStyle w:val="Brdtext"/>
      </w:pPr>
      <w:r>
        <w:t>Nästan samtliga</w:t>
      </w:r>
      <w:r w:rsidR="00F77F4F">
        <w:t xml:space="preserve"> universitet i </w:t>
      </w:r>
      <w:r w:rsidR="00367505">
        <w:t>jämförelse</w:t>
      </w:r>
      <w:r w:rsidR="00F77F4F">
        <w:t>gruppen presterar bättre än KTH sett till f</w:t>
      </w:r>
      <w:r w:rsidR="00B232EF">
        <w:t>orskning om jämlikhet mellan kö</w:t>
      </w:r>
      <w:r w:rsidR="00F77F4F">
        <w:t xml:space="preserve">nen. </w:t>
      </w:r>
    </w:p>
    <w:p w:rsidR="00367505" w:rsidRDefault="003C507B" w:rsidP="003C507B">
      <w:pPr>
        <w:pStyle w:val="Brdtext"/>
      </w:pPr>
      <w:r>
        <w:t xml:space="preserve">I </w:t>
      </w:r>
      <w:r w:rsidR="00B232EF">
        <w:t>jämförelse</w:t>
      </w:r>
      <w:r>
        <w:t xml:space="preserve"> med större </w:t>
      </w:r>
      <w:r w:rsidR="00C4628C">
        <w:t xml:space="preserve">delen av </w:t>
      </w:r>
      <w:r w:rsidR="00B232EF">
        <w:t>jämförelsegruppen</w:t>
      </w:r>
      <w:r>
        <w:t xml:space="preserve"> har KTH relativt låg andel förstagenerationsstudenter. </w:t>
      </w:r>
      <w:r w:rsidR="00F77F4F">
        <w:t xml:space="preserve">Sett till </w:t>
      </w:r>
      <w:r w:rsidR="00F77F4F" w:rsidRPr="0018125A">
        <w:rPr>
          <w:i/>
        </w:rPr>
        <w:t xml:space="preserve">Student </w:t>
      </w:r>
      <w:proofErr w:type="spellStart"/>
      <w:r w:rsidR="00F77F4F" w:rsidRPr="0018125A">
        <w:rPr>
          <w:i/>
        </w:rPr>
        <w:t>acess</w:t>
      </w:r>
      <w:proofErr w:type="spellEnd"/>
      <w:r w:rsidR="00F77F4F" w:rsidRPr="0018125A">
        <w:rPr>
          <w:i/>
        </w:rPr>
        <w:t xml:space="preserve"> </w:t>
      </w:r>
      <w:proofErr w:type="spellStart"/>
      <w:r w:rsidR="00F77F4F" w:rsidRPr="0018125A">
        <w:rPr>
          <w:i/>
        </w:rPr>
        <w:t>me</w:t>
      </w:r>
      <w:r w:rsidR="00CE4BDF" w:rsidRPr="0018125A">
        <w:rPr>
          <w:i/>
        </w:rPr>
        <w:t>as</w:t>
      </w:r>
      <w:r w:rsidR="00F77F4F" w:rsidRPr="0018125A">
        <w:rPr>
          <w:i/>
        </w:rPr>
        <w:t>ur</w:t>
      </w:r>
      <w:r w:rsidR="00CE4BDF" w:rsidRPr="0018125A">
        <w:rPr>
          <w:i/>
        </w:rPr>
        <w:t>e</w:t>
      </w:r>
      <w:r w:rsidR="00367505" w:rsidRPr="0018125A">
        <w:rPr>
          <w:i/>
        </w:rPr>
        <w:t>s</w:t>
      </w:r>
      <w:proofErr w:type="spellEnd"/>
      <w:r w:rsidR="00367505">
        <w:t xml:space="preserve"> har KTH endast</w:t>
      </w:r>
      <w:r w:rsidR="00F77F4F">
        <w:t xml:space="preserve"> bättre värden än MIT och Ålborg</w:t>
      </w:r>
      <w:r w:rsidR="00A546BD">
        <w:t>, hä</w:t>
      </w:r>
      <w:r w:rsidR="001C63AB">
        <w:t xml:space="preserve">r presterar vi särskilt svagt inom </w:t>
      </w:r>
      <w:r w:rsidR="00A546BD">
        <w:t xml:space="preserve">indikatorn </w:t>
      </w:r>
      <w:proofErr w:type="spellStart"/>
      <w:r w:rsidR="00A546BD" w:rsidRPr="0018125A">
        <w:rPr>
          <w:i/>
        </w:rPr>
        <w:t>Women’s</w:t>
      </w:r>
      <w:proofErr w:type="spellEnd"/>
      <w:r w:rsidR="00A546BD" w:rsidRPr="0018125A">
        <w:rPr>
          <w:i/>
        </w:rPr>
        <w:t xml:space="preserve"> access </w:t>
      </w:r>
      <w:proofErr w:type="spellStart"/>
      <w:r w:rsidR="00A546BD" w:rsidRPr="0018125A">
        <w:rPr>
          <w:i/>
        </w:rPr>
        <w:t>schemes</w:t>
      </w:r>
      <w:proofErr w:type="spellEnd"/>
      <w:r w:rsidR="006530EF">
        <w:t>.</w:t>
      </w:r>
      <w:r w:rsidR="006530EF">
        <w:rPr>
          <w:rStyle w:val="Fotnotsreferens"/>
        </w:rPr>
        <w:footnoteReference w:id="3"/>
      </w:r>
    </w:p>
    <w:p w:rsidR="00367505" w:rsidRDefault="00F77F4F" w:rsidP="003C507B">
      <w:pPr>
        <w:pStyle w:val="Brdtext"/>
      </w:pPr>
      <w:r>
        <w:t xml:space="preserve">Vänder vi fokus till andel seniora kvinnliga </w:t>
      </w:r>
      <w:r w:rsidR="00B232EF">
        <w:t>akademiker</w:t>
      </w:r>
      <w:r>
        <w:t xml:space="preserve"> har KTH något högre andel än </w:t>
      </w:r>
      <w:proofErr w:type="spellStart"/>
      <w:r>
        <w:t>Strathclyde</w:t>
      </w:r>
      <w:proofErr w:type="spellEnd"/>
      <w:r>
        <w:t>, MIT och Alto. Bredduniversitet</w:t>
      </w:r>
      <w:r w:rsidR="00C4628C">
        <w:t>, tack vare sin större sammansättning av ämnen,</w:t>
      </w:r>
      <w:r>
        <w:t xml:space="preserve"> presterar härvid betydligt bättre än </w:t>
      </w:r>
      <w:r w:rsidR="001C63AB">
        <w:t xml:space="preserve">de </w:t>
      </w:r>
      <w:r>
        <w:t>tekniska fack</w:t>
      </w:r>
      <w:r w:rsidR="00C25E11">
        <w:t>universiteten</w:t>
      </w:r>
      <w:r>
        <w:t xml:space="preserve">. </w:t>
      </w:r>
      <w:r w:rsidR="006C0CF0">
        <w:t>Samma</w:t>
      </w:r>
      <w:r w:rsidR="00FF32E1">
        <w:t xml:space="preserve"> </w:t>
      </w:r>
      <w:r w:rsidR="00B15EAB">
        <w:t>slutsats kan</w:t>
      </w:r>
      <w:r w:rsidR="00FF32E1">
        <w:t xml:space="preserve"> </w:t>
      </w:r>
      <w:r w:rsidR="00031906">
        <w:t>likaså</w:t>
      </w:r>
      <w:r w:rsidR="001C63AB">
        <w:t xml:space="preserve"> konstateras för andel</w:t>
      </w:r>
      <w:r w:rsidR="00FF32E1">
        <w:t xml:space="preserve"> kvinnor som tar ut examina. </w:t>
      </w:r>
    </w:p>
    <w:p w:rsidR="003C507B" w:rsidRPr="00886580" w:rsidRDefault="00FF32E1" w:rsidP="00886580">
      <w:pPr>
        <w:pStyle w:val="Brdtext"/>
      </w:pPr>
      <w:r w:rsidRPr="00886580">
        <w:t xml:space="preserve">Sett till </w:t>
      </w:r>
      <w:r w:rsidR="00367505" w:rsidRPr="00886580">
        <w:t xml:space="preserve">indikatorn </w:t>
      </w:r>
      <w:proofErr w:type="spellStart"/>
      <w:r w:rsidRPr="0018125A">
        <w:rPr>
          <w:i/>
        </w:rPr>
        <w:t>Womens</w:t>
      </w:r>
      <w:proofErr w:type="spellEnd"/>
      <w:r w:rsidRPr="0018125A">
        <w:rPr>
          <w:i/>
        </w:rPr>
        <w:t xml:space="preserve"> progress </w:t>
      </w:r>
      <w:proofErr w:type="spellStart"/>
      <w:r w:rsidRPr="0018125A">
        <w:rPr>
          <w:i/>
        </w:rPr>
        <w:t>me</w:t>
      </w:r>
      <w:r w:rsidR="00CE4BDF" w:rsidRPr="0018125A">
        <w:rPr>
          <w:i/>
        </w:rPr>
        <w:t>a</w:t>
      </w:r>
      <w:r w:rsidRPr="0018125A">
        <w:rPr>
          <w:i/>
        </w:rPr>
        <w:t>sures</w:t>
      </w:r>
      <w:proofErr w:type="spellEnd"/>
      <w:r w:rsidR="00B232EF" w:rsidRPr="00886580">
        <w:t xml:space="preserve"> är KTH tillsammans med </w:t>
      </w:r>
      <w:r w:rsidR="00C4628C" w:rsidRPr="00886580">
        <w:t xml:space="preserve">MIT och </w:t>
      </w:r>
      <w:r w:rsidR="00B232EF" w:rsidRPr="00886580">
        <w:t>Göteborg</w:t>
      </w:r>
      <w:r w:rsidRPr="00886580">
        <w:t xml:space="preserve"> </w:t>
      </w:r>
      <w:r w:rsidR="005B3445" w:rsidRPr="00886580">
        <w:t>minst framstående</w:t>
      </w:r>
      <w:r w:rsidRPr="00886580">
        <w:t xml:space="preserve"> i </w:t>
      </w:r>
      <w:r w:rsidR="00031906" w:rsidRPr="00886580">
        <w:t>jämförelse</w:t>
      </w:r>
      <w:r w:rsidRPr="00886580">
        <w:t>klassen.</w:t>
      </w:r>
      <w:r w:rsidR="00886580">
        <w:rPr>
          <w:rStyle w:val="Fotnotsreferens"/>
          <w:lang w:val="en-US"/>
        </w:rPr>
        <w:footnoteReference w:id="4"/>
      </w:r>
      <w:r w:rsidRPr="00886580">
        <w:t xml:space="preserve"> </w:t>
      </w:r>
      <w:r w:rsidR="00C4628C">
        <w:t xml:space="preserve">De underindikatorer </w:t>
      </w:r>
      <w:r w:rsidR="005B3445">
        <w:t xml:space="preserve">där </w:t>
      </w:r>
      <w:r w:rsidR="00C4628C">
        <w:t xml:space="preserve">KTH är svagast inom är </w:t>
      </w:r>
      <w:proofErr w:type="spellStart"/>
      <w:r w:rsidR="00C25E11" w:rsidRPr="00C25E11">
        <w:rPr>
          <w:i/>
        </w:rPr>
        <w:t>Childcare</w:t>
      </w:r>
      <w:proofErr w:type="spellEnd"/>
      <w:r w:rsidR="00C25E11" w:rsidRPr="00C25E11">
        <w:rPr>
          <w:i/>
        </w:rPr>
        <w:t xml:space="preserve"> </w:t>
      </w:r>
      <w:proofErr w:type="spellStart"/>
      <w:r w:rsidR="00C25E11" w:rsidRPr="00C25E11">
        <w:rPr>
          <w:i/>
        </w:rPr>
        <w:t>facilities</w:t>
      </w:r>
      <w:proofErr w:type="spellEnd"/>
      <w:r w:rsidR="00C25E11" w:rsidRPr="00C25E11">
        <w:rPr>
          <w:i/>
        </w:rPr>
        <w:t xml:space="preserve"> for students</w:t>
      </w:r>
      <w:r w:rsidR="00C25E11">
        <w:t xml:space="preserve"> och </w:t>
      </w:r>
      <w:proofErr w:type="spellStart"/>
      <w:r w:rsidR="00C25E11" w:rsidRPr="00C25E11">
        <w:rPr>
          <w:i/>
        </w:rPr>
        <w:t>Childcare</w:t>
      </w:r>
      <w:proofErr w:type="spellEnd"/>
      <w:r w:rsidR="00C25E11" w:rsidRPr="00C25E11">
        <w:rPr>
          <w:i/>
        </w:rPr>
        <w:t xml:space="preserve"> </w:t>
      </w:r>
      <w:proofErr w:type="spellStart"/>
      <w:r w:rsidR="00C25E11" w:rsidRPr="00C25E11">
        <w:rPr>
          <w:i/>
        </w:rPr>
        <w:t>facilities</w:t>
      </w:r>
      <w:proofErr w:type="spellEnd"/>
      <w:r w:rsidR="00C25E11" w:rsidRPr="00C25E11">
        <w:rPr>
          <w:i/>
        </w:rPr>
        <w:t xml:space="preserve"> for </w:t>
      </w:r>
      <w:proofErr w:type="spellStart"/>
      <w:r w:rsidR="00C25E11" w:rsidRPr="00C25E11">
        <w:rPr>
          <w:i/>
        </w:rPr>
        <w:t>staff</w:t>
      </w:r>
      <w:proofErr w:type="spellEnd"/>
      <w:r w:rsidR="00C25E11" w:rsidRPr="00C25E11">
        <w:rPr>
          <w:i/>
        </w:rPr>
        <w:t xml:space="preserve"> and </w:t>
      </w:r>
      <w:proofErr w:type="spellStart"/>
      <w:r w:rsidR="00C25E11" w:rsidRPr="00C25E11">
        <w:rPr>
          <w:i/>
        </w:rPr>
        <w:t>faculty</w:t>
      </w:r>
      <w:proofErr w:type="spellEnd"/>
      <w:r w:rsidR="00C25E11">
        <w:t>, vilket beror på att vi</w:t>
      </w:r>
      <w:r w:rsidR="00C4628C">
        <w:t xml:space="preserve"> inte bedriver </w:t>
      </w:r>
      <w:r w:rsidR="005B3445">
        <w:t xml:space="preserve">förskoleverksamhet </w:t>
      </w:r>
      <w:r w:rsidR="00B442BB">
        <w:t xml:space="preserve">för såväl anställda eller studenter </w:t>
      </w:r>
      <w:r w:rsidR="005B3445">
        <w:t>i egen regi</w:t>
      </w:r>
      <w:r w:rsidR="006C0CF0">
        <w:t>,</w:t>
      </w:r>
      <w:r w:rsidR="005B3445">
        <w:t xml:space="preserve"> dels</w:t>
      </w:r>
      <w:r w:rsidR="006C0CF0">
        <w:t xml:space="preserve"> förvånansvärt nog,</w:t>
      </w:r>
      <w:r w:rsidR="00C4628C">
        <w:t xml:space="preserve"> </w:t>
      </w:r>
      <w:proofErr w:type="spellStart"/>
      <w:r w:rsidR="00C4628C" w:rsidRPr="0018125A">
        <w:rPr>
          <w:i/>
        </w:rPr>
        <w:t>Maternity</w:t>
      </w:r>
      <w:proofErr w:type="spellEnd"/>
      <w:r w:rsidR="00C4628C" w:rsidRPr="0018125A">
        <w:rPr>
          <w:i/>
        </w:rPr>
        <w:t xml:space="preserve"> and </w:t>
      </w:r>
      <w:proofErr w:type="spellStart"/>
      <w:r w:rsidR="00C4628C" w:rsidRPr="0018125A">
        <w:rPr>
          <w:i/>
        </w:rPr>
        <w:t>paternity</w:t>
      </w:r>
      <w:proofErr w:type="spellEnd"/>
      <w:r w:rsidR="00C4628C" w:rsidRPr="0018125A">
        <w:rPr>
          <w:i/>
        </w:rPr>
        <w:t xml:space="preserve"> </w:t>
      </w:r>
      <w:proofErr w:type="spellStart"/>
      <w:r w:rsidR="00C4628C" w:rsidRPr="0018125A">
        <w:rPr>
          <w:i/>
        </w:rPr>
        <w:t>policies</w:t>
      </w:r>
      <w:proofErr w:type="spellEnd"/>
      <w:r w:rsidR="00886580">
        <w:t xml:space="preserve"> samt </w:t>
      </w:r>
      <w:proofErr w:type="spellStart"/>
      <w:r w:rsidR="00886580" w:rsidRPr="0018125A">
        <w:rPr>
          <w:i/>
        </w:rPr>
        <w:t>Women’s</w:t>
      </w:r>
      <w:proofErr w:type="spellEnd"/>
      <w:r w:rsidR="00886580" w:rsidRPr="0018125A">
        <w:rPr>
          <w:i/>
        </w:rPr>
        <w:t xml:space="preserve"> </w:t>
      </w:r>
      <w:proofErr w:type="spellStart"/>
      <w:r w:rsidR="00886580" w:rsidRPr="0018125A">
        <w:rPr>
          <w:i/>
        </w:rPr>
        <w:t>mentoring</w:t>
      </w:r>
      <w:proofErr w:type="spellEnd"/>
      <w:r w:rsidR="00886580" w:rsidRPr="0018125A">
        <w:rPr>
          <w:i/>
        </w:rPr>
        <w:t xml:space="preserve"> </w:t>
      </w:r>
      <w:proofErr w:type="spellStart"/>
      <w:r w:rsidR="00886580" w:rsidRPr="0018125A">
        <w:rPr>
          <w:i/>
        </w:rPr>
        <w:t>schemes</w:t>
      </w:r>
      <w:proofErr w:type="spellEnd"/>
      <w:r w:rsidR="00886580" w:rsidRPr="0018125A">
        <w:rPr>
          <w:i/>
        </w:rPr>
        <w:t xml:space="preserve">, in </w:t>
      </w:r>
      <w:proofErr w:type="spellStart"/>
      <w:r w:rsidR="00886580" w:rsidRPr="0018125A">
        <w:rPr>
          <w:i/>
        </w:rPr>
        <w:t>which</w:t>
      </w:r>
      <w:proofErr w:type="spellEnd"/>
      <w:r w:rsidR="00886580" w:rsidRPr="0018125A">
        <w:rPr>
          <w:i/>
        </w:rPr>
        <w:t xml:space="preserve"> at </w:t>
      </w:r>
      <w:proofErr w:type="spellStart"/>
      <w:r w:rsidR="00886580" w:rsidRPr="0018125A">
        <w:rPr>
          <w:i/>
        </w:rPr>
        <w:t>least</w:t>
      </w:r>
      <w:proofErr w:type="spellEnd"/>
      <w:r w:rsidR="00886580" w:rsidRPr="0018125A">
        <w:rPr>
          <w:i/>
        </w:rPr>
        <w:t xml:space="preserve"> 10 per cent of </w:t>
      </w:r>
      <w:proofErr w:type="spellStart"/>
      <w:r w:rsidR="00886580" w:rsidRPr="0018125A">
        <w:rPr>
          <w:i/>
        </w:rPr>
        <w:t>female</w:t>
      </w:r>
      <w:proofErr w:type="spellEnd"/>
      <w:r w:rsidR="00886580" w:rsidRPr="0018125A">
        <w:rPr>
          <w:i/>
        </w:rPr>
        <w:t xml:space="preserve"> students </w:t>
      </w:r>
      <w:proofErr w:type="spellStart"/>
      <w:r w:rsidR="00886580" w:rsidRPr="0018125A">
        <w:rPr>
          <w:i/>
        </w:rPr>
        <w:t>participate</w:t>
      </w:r>
      <w:proofErr w:type="spellEnd"/>
      <w:r w:rsidR="00C4628C">
        <w:t>.</w:t>
      </w:r>
    </w:p>
    <w:p w:rsidR="00156524" w:rsidRDefault="00156524" w:rsidP="00324325">
      <w:pPr>
        <w:pStyle w:val="Brdtext"/>
      </w:pPr>
    </w:p>
    <w:p w:rsidR="00324325" w:rsidRPr="001C328C" w:rsidRDefault="00324325" w:rsidP="000C272F">
      <w:pPr>
        <w:pStyle w:val="Rubrik3"/>
      </w:pPr>
      <w:bookmarkStart w:id="5" w:name="_Toc63236557"/>
      <w:r w:rsidRPr="001C328C">
        <w:lastRenderedPageBreak/>
        <w:t>SDG 6</w:t>
      </w:r>
      <w:r w:rsidR="00AF18C7" w:rsidRPr="001C328C">
        <w:t xml:space="preserve"> Clean </w:t>
      </w:r>
      <w:proofErr w:type="spellStart"/>
      <w:r w:rsidR="00AF18C7" w:rsidRPr="001C328C">
        <w:t>Water</w:t>
      </w:r>
      <w:proofErr w:type="spellEnd"/>
      <w:r w:rsidR="00AF18C7" w:rsidRPr="001C328C">
        <w:t xml:space="preserve"> and </w:t>
      </w:r>
      <w:proofErr w:type="spellStart"/>
      <w:r w:rsidR="00AF18C7" w:rsidRPr="001C328C">
        <w:t>Sanitation</w:t>
      </w:r>
      <w:bookmarkEnd w:id="5"/>
      <w:proofErr w:type="spellEnd"/>
    </w:p>
    <w:p w:rsidR="004C3763" w:rsidRDefault="001C328C" w:rsidP="00B726B6">
      <w:pPr>
        <w:pStyle w:val="Brdtext"/>
      </w:pPr>
      <w:r>
        <w:t xml:space="preserve">Samtliga </w:t>
      </w:r>
      <w:r w:rsidR="002F2A6F">
        <w:t>jämförelse</w:t>
      </w:r>
      <w:r w:rsidR="003F2D12">
        <w:t>universitet</w:t>
      </w:r>
      <w:r>
        <w:t xml:space="preserve"> prester</w:t>
      </w:r>
      <w:r w:rsidR="002F2A6F">
        <w:t>ar mycket bra i vatten</w:t>
      </w:r>
      <w:r w:rsidR="0026047D">
        <w:t>- och sanitets</w:t>
      </w:r>
      <w:r w:rsidR="002F2A6F">
        <w:t>forskning</w:t>
      </w:r>
      <w:r>
        <w:t xml:space="preserve"> sett </w:t>
      </w:r>
      <w:r w:rsidR="001C63AB">
        <w:t xml:space="preserve">till </w:t>
      </w:r>
      <w:proofErr w:type="spellStart"/>
      <w:r>
        <w:t>bibliometriskt</w:t>
      </w:r>
      <w:proofErr w:type="spellEnd"/>
      <w:r>
        <w:t xml:space="preserve"> genomslag. Trots att KTH fick 79,5 poäng, presterar vi endast bättre än </w:t>
      </w:r>
      <w:proofErr w:type="spellStart"/>
      <w:r>
        <w:t>Strathclyde</w:t>
      </w:r>
      <w:proofErr w:type="spellEnd"/>
      <w:r>
        <w:t xml:space="preserve"> och Waterloo. </w:t>
      </w:r>
      <w:r w:rsidR="00785E62">
        <w:t>KTH presterar</w:t>
      </w:r>
      <w:r w:rsidR="00B15EAB">
        <w:t xml:space="preserve"> bättre sett till volym än </w:t>
      </w:r>
      <w:r w:rsidR="00785E62">
        <w:t xml:space="preserve">genomslag. </w:t>
      </w:r>
    </w:p>
    <w:p w:rsidR="002F2A6F" w:rsidRDefault="00CE51F5" w:rsidP="00B726B6">
      <w:pPr>
        <w:pStyle w:val="Brdtext"/>
      </w:pPr>
      <w:r>
        <w:t xml:space="preserve">Vänder vi intresset mot vattenkonsumtion per </w:t>
      </w:r>
      <w:r w:rsidR="00B15EAB">
        <w:t>capita</w:t>
      </w:r>
      <w:r>
        <w:t xml:space="preserve"> presterar K</w:t>
      </w:r>
      <w:r w:rsidR="00031906">
        <w:t>TH endast bättre än Waterloo. Å</w:t>
      </w:r>
      <w:r>
        <w:t xml:space="preserve">lborg presterar särskilt bra med 70.3 poäng. </w:t>
      </w:r>
    </w:p>
    <w:p w:rsidR="004C3763" w:rsidRDefault="00AD2A33" w:rsidP="00B726B6">
      <w:pPr>
        <w:pStyle w:val="Brdtext"/>
      </w:pPr>
      <w:r>
        <w:t xml:space="preserve">KTH </w:t>
      </w:r>
      <w:r w:rsidR="002F2A6F">
        <w:t>hävdar sig</w:t>
      </w:r>
      <w:r>
        <w:t xml:space="preserve"> inte heller särskilt väl inom </w:t>
      </w:r>
      <w:proofErr w:type="spellStart"/>
      <w:r w:rsidRPr="000B3229">
        <w:rPr>
          <w:i/>
        </w:rPr>
        <w:t>Water</w:t>
      </w:r>
      <w:proofErr w:type="spellEnd"/>
      <w:r w:rsidRPr="000B3229">
        <w:rPr>
          <w:i/>
        </w:rPr>
        <w:t xml:space="preserve"> </w:t>
      </w:r>
      <w:proofErr w:type="spellStart"/>
      <w:r w:rsidRPr="000B3229">
        <w:rPr>
          <w:i/>
        </w:rPr>
        <w:t>usage</w:t>
      </w:r>
      <w:proofErr w:type="spellEnd"/>
      <w:r w:rsidRPr="000B3229">
        <w:rPr>
          <w:i/>
        </w:rPr>
        <w:t xml:space="preserve"> and </w:t>
      </w:r>
      <w:proofErr w:type="spellStart"/>
      <w:r w:rsidRPr="000B3229">
        <w:rPr>
          <w:i/>
        </w:rPr>
        <w:t>care</w:t>
      </w:r>
      <w:proofErr w:type="spellEnd"/>
      <w:r>
        <w:t>, där KTH fick 33.3 i samtliga underindikatorer</w:t>
      </w:r>
      <w:r w:rsidR="005F5C23">
        <w:t>, bland annat beroe</w:t>
      </w:r>
      <w:r w:rsidR="000C2C67">
        <w:t>nde på bristande dokumentation, att policys/</w:t>
      </w:r>
      <w:r w:rsidR="001C63AB">
        <w:t xml:space="preserve"> </w:t>
      </w:r>
      <w:r w:rsidR="000C2C67">
        <w:t>riktlinjer saknas</w:t>
      </w:r>
      <w:r w:rsidR="005F5C23">
        <w:t xml:space="preserve"> och att vi inte bedriver detta i egen regi.</w:t>
      </w:r>
      <w:r>
        <w:t xml:space="preserve"> Särskilt MIT och Queensland </w:t>
      </w:r>
      <w:r w:rsidR="00B726B6">
        <w:t xml:space="preserve">University of Technology </w:t>
      </w:r>
      <w:r w:rsidR="00B15EAB">
        <w:t>står</w:t>
      </w:r>
      <w:r w:rsidR="00B726B6">
        <w:t xml:space="preserve"> sig väl</w:t>
      </w:r>
      <w:r w:rsidR="002F2A6F">
        <w:t xml:space="preserve"> inom detta område</w:t>
      </w:r>
      <w:r w:rsidR="00B726B6">
        <w:t xml:space="preserve">. </w:t>
      </w:r>
    </w:p>
    <w:p w:rsidR="004C3763" w:rsidRDefault="00B726B6" w:rsidP="003D6C57">
      <w:pPr>
        <w:pStyle w:val="Brdtext"/>
      </w:pPr>
      <w:r>
        <w:t xml:space="preserve">I jämförelse med </w:t>
      </w:r>
      <w:r w:rsidR="00737B0C">
        <w:t>jämförelse</w:t>
      </w:r>
      <w:r>
        <w:t xml:space="preserve">universiteten presterar KTH medelmåttigt inom indikatorn </w:t>
      </w:r>
      <w:proofErr w:type="spellStart"/>
      <w:r w:rsidRPr="000B3229">
        <w:rPr>
          <w:i/>
        </w:rPr>
        <w:t>Water</w:t>
      </w:r>
      <w:proofErr w:type="spellEnd"/>
      <w:r w:rsidRPr="000B3229">
        <w:rPr>
          <w:i/>
        </w:rPr>
        <w:t xml:space="preserve"> in the Community</w:t>
      </w:r>
      <w:r>
        <w:t xml:space="preserve">. </w:t>
      </w:r>
      <w:r w:rsidRPr="003D6C57">
        <w:rPr>
          <w:lang w:val="en-US"/>
        </w:rPr>
        <w:t xml:space="preserve">Sett till </w:t>
      </w:r>
      <w:proofErr w:type="spellStart"/>
      <w:r w:rsidR="00B15EAB" w:rsidRPr="003D6C57">
        <w:rPr>
          <w:lang w:val="en-US"/>
        </w:rPr>
        <w:t>under</w:t>
      </w:r>
      <w:r w:rsidRPr="003D6C57">
        <w:rPr>
          <w:lang w:val="en-US"/>
        </w:rPr>
        <w:t>indikatorerna</w:t>
      </w:r>
      <w:proofErr w:type="spellEnd"/>
      <w:r w:rsidR="00737B0C" w:rsidRPr="003D6C57">
        <w:rPr>
          <w:lang w:val="en-US"/>
        </w:rPr>
        <w:t>:</w:t>
      </w:r>
      <w:r w:rsidRPr="003D6C57">
        <w:rPr>
          <w:lang w:val="en-US"/>
        </w:rPr>
        <w:t xml:space="preserve"> </w:t>
      </w:r>
      <w:r w:rsidRPr="000B3229">
        <w:rPr>
          <w:i/>
          <w:lang w:val="en-US"/>
        </w:rPr>
        <w:t>Water management educational opportunities</w:t>
      </w:r>
      <w:r w:rsidRPr="003D6C57">
        <w:rPr>
          <w:lang w:val="en-US"/>
        </w:rPr>
        <w:t xml:space="preserve"> </w:t>
      </w:r>
      <w:proofErr w:type="spellStart"/>
      <w:r w:rsidRPr="003D6C57">
        <w:rPr>
          <w:lang w:val="en-US"/>
        </w:rPr>
        <w:t>och</w:t>
      </w:r>
      <w:proofErr w:type="spellEnd"/>
      <w:r w:rsidRPr="003D6C57">
        <w:rPr>
          <w:lang w:val="en-US"/>
        </w:rPr>
        <w:t xml:space="preserve"> </w:t>
      </w:r>
      <w:r w:rsidRPr="000B3229">
        <w:rPr>
          <w:i/>
          <w:lang w:val="en-US"/>
        </w:rPr>
        <w:t>Off-campu</w:t>
      </w:r>
      <w:r w:rsidR="00737B0C" w:rsidRPr="000B3229">
        <w:rPr>
          <w:i/>
          <w:lang w:val="en-US"/>
        </w:rPr>
        <w:t>s water conservation support</w:t>
      </w:r>
      <w:r w:rsidR="00737B0C" w:rsidRPr="003D6C57">
        <w:rPr>
          <w:lang w:val="en-US"/>
        </w:rPr>
        <w:t xml:space="preserve"> </w:t>
      </w:r>
      <w:proofErr w:type="spellStart"/>
      <w:r w:rsidR="00737B0C" w:rsidRPr="003D6C57">
        <w:rPr>
          <w:lang w:val="en-US"/>
        </w:rPr>
        <w:t>stå</w:t>
      </w:r>
      <w:r w:rsidRPr="003D6C57">
        <w:rPr>
          <w:lang w:val="en-US"/>
        </w:rPr>
        <w:t>r</w:t>
      </w:r>
      <w:proofErr w:type="spellEnd"/>
      <w:r w:rsidRPr="003D6C57">
        <w:rPr>
          <w:lang w:val="en-US"/>
        </w:rPr>
        <w:t xml:space="preserve"> sig KTH bra</w:t>
      </w:r>
      <w:r w:rsidR="003F2D12" w:rsidRPr="003D6C57">
        <w:rPr>
          <w:lang w:val="en-US"/>
        </w:rPr>
        <w:t xml:space="preserve">, men </w:t>
      </w:r>
      <w:proofErr w:type="spellStart"/>
      <w:r w:rsidR="003F2D12" w:rsidRPr="003D6C57">
        <w:rPr>
          <w:lang w:val="en-US"/>
        </w:rPr>
        <w:t>desto</w:t>
      </w:r>
      <w:proofErr w:type="spellEnd"/>
      <w:r w:rsidR="003F2D12" w:rsidRPr="003D6C57">
        <w:rPr>
          <w:lang w:val="en-US"/>
        </w:rPr>
        <w:t xml:space="preserve"> </w:t>
      </w:r>
      <w:proofErr w:type="spellStart"/>
      <w:r w:rsidR="003F2D12" w:rsidRPr="003D6C57">
        <w:rPr>
          <w:lang w:val="en-US"/>
        </w:rPr>
        <w:t>sämre</w:t>
      </w:r>
      <w:proofErr w:type="spellEnd"/>
      <w:r w:rsidR="003F2D12" w:rsidRPr="003D6C57">
        <w:rPr>
          <w:lang w:val="en-US"/>
        </w:rPr>
        <w:t xml:space="preserve"> </w:t>
      </w:r>
      <w:proofErr w:type="spellStart"/>
      <w:r w:rsidR="003F2D12" w:rsidRPr="003D6C57">
        <w:rPr>
          <w:lang w:val="en-US"/>
        </w:rPr>
        <w:t>i</w:t>
      </w:r>
      <w:proofErr w:type="spellEnd"/>
      <w:r w:rsidR="003F2D12" w:rsidRPr="003D6C57">
        <w:rPr>
          <w:lang w:val="en-US"/>
        </w:rPr>
        <w:t xml:space="preserve"> </w:t>
      </w:r>
      <w:proofErr w:type="gramStart"/>
      <w:r w:rsidR="003D6C57" w:rsidRPr="000B3229">
        <w:rPr>
          <w:i/>
          <w:lang w:val="en-US"/>
        </w:rPr>
        <w:t>Promoting</w:t>
      </w:r>
      <w:proofErr w:type="gramEnd"/>
      <w:r w:rsidR="003D6C57" w:rsidRPr="000B3229">
        <w:rPr>
          <w:i/>
          <w:lang w:val="en-US"/>
        </w:rPr>
        <w:t xml:space="preserve"> conscious water usage</w:t>
      </w:r>
      <w:r w:rsidR="003D6C57" w:rsidRPr="003D6C57">
        <w:rPr>
          <w:lang w:val="en-US"/>
        </w:rPr>
        <w:t xml:space="preserve">, </w:t>
      </w:r>
      <w:r w:rsidR="003D6C57" w:rsidRPr="000B3229">
        <w:rPr>
          <w:i/>
          <w:lang w:val="en-US"/>
        </w:rPr>
        <w:t>Sustainable water extraction on campus</w:t>
      </w:r>
      <w:r w:rsidR="003D6C57">
        <w:rPr>
          <w:lang w:val="en-US"/>
        </w:rPr>
        <w:t xml:space="preserve"> </w:t>
      </w:r>
      <w:proofErr w:type="spellStart"/>
      <w:r w:rsidR="003D6C57">
        <w:rPr>
          <w:lang w:val="en-US"/>
        </w:rPr>
        <w:t>och</w:t>
      </w:r>
      <w:proofErr w:type="spellEnd"/>
      <w:r w:rsidR="003D6C57">
        <w:rPr>
          <w:lang w:val="en-US"/>
        </w:rPr>
        <w:t xml:space="preserve"> </w:t>
      </w:r>
      <w:r w:rsidR="003D6C57" w:rsidRPr="000B3229">
        <w:rPr>
          <w:i/>
          <w:lang w:val="en-US"/>
        </w:rPr>
        <w:t>Cooperation on water security</w:t>
      </w:r>
      <w:r w:rsidRPr="003D6C57">
        <w:rPr>
          <w:lang w:val="en-US"/>
        </w:rPr>
        <w:t xml:space="preserve">. </w:t>
      </w:r>
      <w:r w:rsidR="003D6C57" w:rsidRPr="003D6C57">
        <w:t>D</w:t>
      </w:r>
      <w:r w:rsidR="003D6C57">
        <w:t>e flesta av jämföre</w:t>
      </w:r>
      <w:r w:rsidR="003D6C57" w:rsidRPr="003D6C57">
        <w:t>l</w:t>
      </w:r>
      <w:r w:rsidR="003D6C57">
        <w:t>s</w:t>
      </w:r>
      <w:r w:rsidR="003D6C57" w:rsidRPr="003D6C57">
        <w:t>euniversiteten presterar bättre än KTH inom dessa</w:t>
      </w:r>
      <w:r w:rsidRPr="003D6C57">
        <w:t xml:space="preserve"> </w:t>
      </w:r>
      <w:r w:rsidR="003D6C57">
        <w:t>under</w:t>
      </w:r>
      <w:r>
        <w:t>indikatorer</w:t>
      </w:r>
      <w:r w:rsidR="00737B0C">
        <w:t>.</w:t>
      </w:r>
      <w:r w:rsidR="005B3445">
        <w:t xml:space="preserve"> </w:t>
      </w:r>
    </w:p>
    <w:p w:rsidR="00156524" w:rsidRPr="00B726B6" w:rsidRDefault="00F60B2A" w:rsidP="00B726B6">
      <w:pPr>
        <w:pStyle w:val="Brdtext"/>
      </w:pPr>
      <w:r w:rsidRPr="003D6C57">
        <w:rPr>
          <w:lang w:val="en-US"/>
        </w:rPr>
        <w:t xml:space="preserve">KTH </w:t>
      </w:r>
      <w:proofErr w:type="spellStart"/>
      <w:r w:rsidRPr="003D6C57">
        <w:rPr>
          <w:lang w:val="en-US"/>
        </w:rPr>
        <w:t>har</w:t>
      </w:r>
      <w:proofErr w:type="spellEnd"/>
      <w:r w:rsidRPr="003D6C57">
        <w:rPr>
          <w:lang w:val="en-US"/>
        </w:rPr>
        <w:t xml:space="preserve"> </w:t>
      </w:r>
      <w:proofErr w:type="spellStart"/>
      <w:r w:rsidRPr="003D6C57">
        <w:rPr>
          <w:lang w:val="en-US"/>
        </w:rPr>
        <w:t>en</w:t>
      </w:r>
      <w:proofErr w:type="spellEnd"/>
      <w:r w:rsidRPr="003D6C57">
        <w:rPr>
          <w:lang w:val="en-US"/>
        </w:rPr>
        <w:t xml:space="preserve"> </w:t>
      </w:r>
      <w:proofErr w:type="spellStart"/>
      <w:r w:rsidRPr="003D6C57">
        <w:rPr>
          <w:lang w:val="en-US"/>
        </w:rPr>
        <w:t>m</w:t>
      </w:r>
      <w:r w:rsidR="00B726B6" w:rsidRPr="003D6C57">
        <w:rPr>
          <w:lang w:val="en-US"/>
        </w:rPr>
        <w:t>indre</w:t>
      </w:r>
      <w:proofErr w:type="spellEnd"/>
      <w:r w:rsidR="00B726B6" w:rsidRPr="003D6C57">
        <w:rPr>
          <w:lang w:val="en-US"/>
        </w:rPr>
        <w:t xml:space="preserve"> </w:t>
      </w:r>
      <w:proofErr w:type="spellStart"/>
      <w:r w:rsidR="00B726B6" w:rsidRPr="003D6C57">
        <w:rPr>
          <w:lang w:val="en-US"/>
        </w:rPr>
        <w:t>framträdande</w:t>
      </w:r>
      <w:proofErr w:type="spellEnd"/>
      <w:r w:rsidR="00B726B6" w:rsidRPr="003D6C57">
        <w:rPr>
          <w:lang w:val="en-US"/>
        </w:rPr>
        <w:t xml:space="preserve"> </w:t>
      </w:r>
      <w:r w:rsidRPr="003D6C57">
        <w:rPr>
          <w:lang w:val="en-US"/>
        </w:rPr>
        <w:t>position</w:t>
      </w:r>
      <w:r w:rsidR="00B726B6" w:rsidRPr="003D6C57">
        <w:rPr>
          <w:lang w:val="en-US"/>
        </w:rPr>
        <w:t xml:space="preserve"> </w:t>
      </w:r>
      <w:proofErr w:type="spellStart"/>
      <w:r w:rsidR="00B726B6" w:rsidRPr="003D6C57">
        <w:rPr>
          <w:lang w:val="en-US"/>
        </w:rPr>
        <w:t>inom</w:t>
      </w:r>
      <w:proofErr w:type="spellEnd"/>
      <w:r w:rsidR="00B726B6" w:rsidRPr="003D6C57">
        <w:rPr>
          <w:lang w:val="en-US"/>
        </w:rPr>
        <w:t xml:space="preserve"> </w:t>
      </w:r>
      <w:r w:rsidR="00B726B6" w:rsidRPr="000B3229">
        <w:rPr>
          <w:i/>
          <w:lang w:val="en-US"/>
        </w:rPr>
        <w:t>Promoting conscious water usage</w:t>
      </w:r>
      <w:r w:rsidR="00B726B6" w:rsidRPr="003D6C57">
        <w:rPr>
          <w:lang w:val="en-US"/>
        </w:rPr>
        <w:t xml:space="preserve">, </w:t>
      </w:r>
      <w:r w:rsidR="00B726B6" w:rsidRPr="000B3229">
        <w:rPr>
          <w:i/>
          <w:lang w:val="en-US"/>
        </w:rPr>
        <w:t>Sustainable water extraction on campus</w:t>
      </w:r>
      <w:r w:rsidR="00B726B6" w:rsidRPr="003D6C57">
        <w:rPr>
          <w:lang w:val="en-US"/>
        </w:rPr>
        <w:t xml:space="preserve"> </w:t>
      </w:r>
      <w:proofErr w:type="spellStart"/>
      <w:r w:rsidR="00B726B6" w:rsidRPr="003D6C57">
        <w:rPr>
          <w:lang w:val="en-US"/>
        </w:rPr>
        <w:t>och</w:t>
      </w:r>
      <w:proofErr w:type="spellEnd"/>
      <w:r w:rsidR="00B726B6" w:rsidRPr="003D6C57">
        <w:rPr>
          <w:lang w:val="en-US"/>
        </w:rPr>
        <w:t xml:space="preserve"> </w:t>
      </w:r>
      <w:r w:rsidR="00B726B6" w:rsidRPr="000B3229">
        <w:rPr>
          <w:i/>
          <w:lang w:val="en-US"/>
        </w:rPr>
        <w:t>Cooperation on water security</w:t>
      </w:r>
      <w:r w:rsidR="00B726B6" w:rsidRPr="003D6C57">
        <w:rPr>
          <w:lang w:val="en-US"/>
        </w:rPr>
        <w:t xml:space="preserve">. </w:t>
      </w:r>
      <w:r w:rsidR="00B726B6" w:rsidRPr="00B726B6">
        <w:t xml:space="preserve">Inget av </w:t>
      </w:r>
      <w:r w:rsidR="003F2D12">
        <w:t>jämförelse</w:t>
      </w:r>
      <w:r w:rsidR="00B726B6">
        <w:t>universiteten utmärke</w:t>
      </w:r>
      <w:r w:rsidR="00B726B6" w:rsidRPr="00B726B6">
        <w:t xml:space="preserve">r sig inom </w:t>
      </w:r>
      <w:proofErr w:type="spellStart"/>
      <w:r w:rsidR="00B726B6" w:rsidRPr="000B3229">
        <w:rPr>
          <w:i/>
        </w:rPr>
        <w:t>Sustainable</w:t>
      </w:r>
      <w:proofErr w:type="spellEnd"/>
      <w:r w:rsidR="00B726B6" w:rsidRPr="000B3229">
        <w:rPr>
          <w:i/>
        </w:rPr>
        <w:t xml:space="preserve"> </w:t>
      </w:r>
      <w:proofErr w:type="spellStart"/>
      <w:r w:rsidR="00B726B6" w:rsidRPr="000B3229">
        <w:rPr>
          <w:i/>
        </w:rPr>
        <w:t>water</w:t>
      </w:r>
      <w:proofErr w:type="spellEnd"/>
      <w:r w:rsidR="00B726B6" w:rsidRPr="000B3229">
        <w:rPr>
          <w:i/>
        </w:rPr>
        <w:t xml:space="preserve"> </w:t>
      </w:r>
      <w:proofErr w:type="spellStart"/>
      <w:r w:rsidR="00B726B6" w:rsidRPr="000B3229">
        <w:rPr>
          <w:i/>
        </w:rPr>
        <w:t>extraction</w:t>
      </w:r>
      <w:proofErr w:type="spellEnd"/>
      <w:r w:rsidR="00B726B6" w:rsidRPr="000B3229">
        <w:rPr>
          <w:i/>
        </w:rPr>
        <w:t xml:space="preserve"> on campus</w:t>
      </w:r>
      <w:r w:rsidR="00B726B6">
        <w:t>.</w:t>
      </w:r>
    </w:p>
    <w:p w:rsidR="00E74B35" w:rsidRPr="00B726B6" w:rsidRDefault="00E74B35" w:rsidP="00324325">
      <w:pPr>
        <w:pStyle w:val="Brdtext"/>
      </w:pPr>
    </w:p>
    <w:p w:rsidR="00324325" w:rsidRPr="00DC1A50" w:rsidRDefault="00324325" w:rsidP="000C272F">
      <w:pPr>
        <w:pStyle w:val="Rubrik3"/>
      </w:pPr>
      <w:bookmarkStart w:id="6" w:name="_Toc63236558"/>
      <w:r w:rsidRPr="00DC1A50">
        <w:t>SDG 7</w:t>
      </w:r>
      <w:r w:rsidR="00AF18C7" w:rsidRPr="00DC1A50">
        <w:t xml:space="preserve"> </w:t>
      </w:r>
      <w:proofErr w:type="spellStart"/>
      <w:r w:rsidR="00AF18C7" w:rsidRPr="00DC1A50">
        <w:t>Affordable</w:t>
      </w:r>
      <w:proofErr w:type="spellEnd"/>
      <w:r w:rsidR="00AF18C7" w:rsidRPr="00DC1A50">
        <w:t xml:space="preserve"> and Clean Energy</w:t>
      </w:r>
      <w:bookmarkEnd w:id="6"/>
    </w:p>
    <w:p w:rsidR="0001483E" w:rsidRDefault="00DC1A50" w:rsidP="00EC1BA6">
      <w:pPr>
        <w:pStyle w:val="Brdtext"/>
      </w:pPr>
      <w:r w:rsidRPr="00DC1A50">
        <w:t xml:space="preserve">De tekniska </w:t>
      </w:r>
      <w:r w:rsidR="005B3445">
        <w:t>fack</w:t>
      </w:r>
      <w:r w:rsidRPr="00DC1A50">
        <w:t xml:space="preserve">universiteten hävdar sig </w:t>
      </w:r>
      <w:r w:rsidR="005509E3">
        <w:t>synnerligen</w:t>
      </w:r>
      <w:r w:rsidRPr="00DC1A50">
        <w:t xml:space="preserve"> väl </w:t>
      </w:r>
      <w:r>
        <w:t>sett till</w:t>
      </w:r>
      <w:r w:rsidR="001C63AB">
        <w:t xml:space="preserve"> de bibliometriska indikatorer</w:t>
      </w:r>
      <w:r>
        <w:t xml:space="preserve"> som omfattar </w:t>
      </w:r>
      <w:r w:rsidR="00E71B33">
        <w:t xml:space="preserve">forskning kring </w:t>
      </w:r>
      <w:r>
        <w:t xml:space="preserve">ren energi. KTH presterar </w:t>
      </w:r>
      <w:r w:rsidR="00E71B33">
        <w:t>mycket bra sett till</w:t>
      </w:r>
      <w:r>
        <w:t xml:space="preserve"> både volym och genomslag. </w:t>
      </w:r>
    </w:p>
    <w:p w:rsidR="00E71B33" w:rsidRDefault="003E4EB3" w:rsidP="00EC1BA6">
      <w:pPr>
        <w:pStyle w:val="Brdtext"/>
      </w:pPr>
      <w:r w:rsidRPr="003E4EB3">
        <w:t xml:space="preserve">KTH </w:t>
      </w:r>
      <w:r w:rsidR="00E71B33">
        <w:t>utmärker sig</w:t>
      </w:r>
      <w:r w:rsidRPr="003E4EB3">
        <w:t xml:space="preserve"> inom </w:t>
      </w:r>
      <w:r w:rsidR="00E71B33">
        <w:t xml:space="preserve">indikatorn: </w:t>
      </w:r>
      <w:r w:rsidRPr="000B3229">
        <w:rPr>
          <w:i/>
        </w:rPr>
        <w:t xml:space="preserve">University </w:t>
      </w:r>
      <w:proofErr w:type="spellStart"/>
      <w:r w:rsidRPr="000B3229">
        <w:rPr>
          <w:i/>
        </w:rPr>
        <w:t>measures</w:t>
      </w:r>
      <w:proofErr w:type="spellEnd"/>
      <w:r w:rsidRPr="000B3229">
        <w:rPr>
          <w:i/>
        </w:rPr>
        <w:t xml:space="preserve"> </w:t>
      </w:r>
      <w:proofErr w:type="spellStart"/>
      <w:r w:rsidRPr="000B3229">
        <w:rPr>
          <w:i/>
        </w:rPr>
        <w:t>towar</w:t>
      </w:r>
      <w:r w:rsidR="00DB71AC" w:rsidRPr="000B3229">
        <w:rPr>
          <w:i/>
        </w:rPr>
        <w:t>ds</w:t>
      </w:r>
      <w:proofErr w:type="spellEnd"/>
      <w:r w:rsidR="00DB71AC" w:rsidRPr="000B3229">
        <w:rPr>
          <w:i/>
        </w:rPr>
        <w:t xml:space="preserve"> </w:t>
      </w:r>
      <w:proofErr w:type="spellStart"/>
      <w:r w:rsidR="00DB71AC" w:rsidRPr="000B3229">
        <w:rPr>
          <w:i/>
        </w:rPr>
        <w:t>affordable</w:t>
      </w:r>
      <w:proofErr w:type="spellEnd"/>
      <w:r w:rsidR="00DB71AC" w:rsidRPr="000B3229">
        <w:rPr>
          <w:i/>
        </w:rPr>
        <w:t xml:space="preserve"> and </w:t>
      </w:r>
      <w:proofErr w:type="spellStart"/>
      <w:r w:rsidR="00DB71AC" w:rsidRPr="000B3229">
        <w:rPr>
          <w:i/>
        </w:rPr>
        <w:t>clean</w:t>
      </w:r>
      <w:proofErr w:type="spellEnd"/>
      <w:r w:rsidR="00DB71AC" w:rsidRPr="000B3229">
        <w:rPr>
          <w:i/>
        </w:rPr>
        <w:t xml:space="preserve"> </w:t>
      </w:r>
      <w:proofErr w:type="spellStart"/>
      <w:r w:rsidR="00DB71AC" w:rsidRPr="000B3229">
        <w:rPr>
          <w:i/>
        </w:rPr>
        <w:t>energy</w:t>
      </w:r>
      <w:proofErr w:type="spellEnd"/>
      <w:r w:rsidR="00DB71AC">
        <w:t xml:space="preserve">; </w:t>
      </w:r>
      <w:r w:rsidRPr="003E4EB3">
        <w:t xml:space="preserve">endast Trinity College har bättre värden. </w:t>
      </w:r>
      <w:r w:rsidR="001C63AB">
        <w:t xml:space="preserve">KTH erhåller ett </w:t>
      </w:r>
      <w:r>
        <w:t xml:space="preserve">mycket </w:t>
      </w:r>
      <w:r w:rsidR="001C63AB">
        <w:t>positivt</w:t>
      </w:r>
      <w:r w:rsidR="00DB71AC">
        <w:t xml:space="preserve"> utfall</w:t>
      </w:r>
      <w:r>
        <w:t xml:space="preserve"> inom </w:t>
      </w:r>
      <w:r w:rsidR="0026047D">
        <w:t>underindikatorer</w:t>
      </w:r>
      <w:r>
        <w:t>na</w:t>
      </w:r>
      <w:r w:rsidR="00E71B33">
        <w:t>:</w:t>
      </w:r>
      <w:r>
        <w:t xml:space="preserve"> </w:t>
      </w:r>
      <w:r w:rsidRPr="000B3229">
        <w:rPr>
          <w:i/>
        </w:rPr>
        <w:t>Energy-</w:t>
      </w:r>
      <w:proofErr w:type="spellStart"/>
      <w:r w:rsidRPr="000B3229">
        <w:rPr>
          <w:i/>
        </w:rPr>
        <w:t>efficient</w:t>
      </w:r>
      <w:proofErr w:type="spellEnd"/>
      <w:r w:rsidRPr="000B3229">
        <w:rPr>
          <w:i/>
        </w:rPr>
        <w:t xml:space="preserve"> renovation and </w:t>
      </w:r>
      <w:proofErr w:type="spellStart"/>
      <w:r w:rsidRPr="000B3229">
        <w:rPr>
          <w:i/>
        </w:rPr>
        <w:t>building</w:t>
      </w:r>
      <w:proofErr w:type="spellEnd"/>
      <w:r w:rsidRPr="000B3229">
        <w:rPr>
          <w:i/>
        </w:rPr>
        <w:t xml:space="preserve">, </w:t>
      </w:r>
      <w:proofErr w:type="spellStart"/>
      <w:r w:rsidRPr="000B3229">
        <w:rPr>
          <w:i/>
        </w:rPr>
        <w:t>Upgrade</w:t>
      </w:r>
      <w:proofErr w:type="spellEnd"/>
      <w:r w:rsidRPr="000B3229">
        <w:rPr>
          <w:i/>
        </w:rPr>
        <w:t xml:space="preserve"> </w:t>
      </w:r>
      <w:proofErr w:type="spellStart"/>
      <w:r w:rsidRPr="000B3229">
        <w:rPr>
          <w:i/>
        </w:rPr>
        <w:t>buildings</w:t>
      </w:r>
      <w:proofErr w:type="spellEnd"/>
      <w:r w:rsidRPr="000B3229">
        <w:rPr>
          <w:i/>
        </w:rPr>
        <w:t xml:space="preserve"> to </w:t>
      </w:r>
      <w:proofErr w:type="spellStart"/>
      <w:r w:rsidRPr="000B3229">
        <w:rPr>
          <w:i/>
        </w:rPr>
        <w:t>higher</w:t>
      </w:r>
      <w:proofErr w:type="spellEnd"/>
      <w:r w:rsidRPr="000B3229">
        <w:rPr>
          <w:i/>
        </w:rPr>
        <w:t xml:space="preserve"> </w:t>
      </w:r>
      <w:proofErr w:type="spellStart"/>
      <w:r w:rsidRPr="000B3229">
        <w:rPr>
          <w:i/>
        </w:rPr>
        <w:t>energy</w:t>
      </w:r>
      <w:proofErr w:type="spellEnd"/>
      <w:r w:rsidRPr="000B3229">
        <w:rPr>
          <w:i/>
        </w:rPr>
        <w:t xml:space="preserve"> </w:t>
      </w:r>
      <w:proofErr w:type="spellStart"/>
      <w:r w:rsidRPr="000B3229">
        <w:rPr>
          <w:i/>
        </w:rPr>
        <w:t>efficiency</w:t>
      </w:r>
      <w:proofErr w:type="spellEnd"/>
      <w:r>
        <w:t xml:space="preserve"> och </w:t>
      </w:r>
      <w:r w:rsidRPr="000B3229">
        <w:rPr>
          <w:i/>
        </w:rPr>
        <w:t xml:space="preserve">Energy </w:t>
      </w:r>
      <w:proofErr w:type="spellStart"/>
      <w:r w:rsidRPr="000B3229">
        <w:rPr>
          <w:i/>
        </w:rPr>
        <w:t>wastage</w:t>
      </w:r>
      <w:proofErr w:type="spellEnd"/>
      <w:r w:rsidRPr="000B3229">
        <w:rPr>
          <w:i/>
        </w:rPr>
        <w:t xml:space="preserve"> </w:t>
      </w:r>
      <w:proofErr w:type="spellStart"/>
      <w:r w:rsidRPr="000B3229">
        <w:rPr>
          <w:i/>
        </w:rPr>
        <w:t>identification</w:t>
      </w:r>
      <w:proofErr w:type="spellEnd"/>
      <w:r>
        <w:t xml:space="preserve">. </w:t>
      </w:r>
    </w:p>
    <w:p w:rsidR="0001483E" w:rsidRDefault="003E4EB3" w:rsidP="00EC1BA6">
      <w:pPr>
        <w:pStyle w:val="Brdtext"/>
      </w:pPr>
      <w:r>
        <w:t xml:space="preserve">Särskilt bra i </w:t>
      </w:r>
      <w:r w:rsidR="00DB71AC">
        <w:t>komparation</w:t>
      </w:r>
      <w:r>
        <w:t xml:space="preserve"> med </w:t>
      </w:r>
      <w:r w:rsidR="00E71B33">
        <w:t>jämförelse</w:t>
      </w:r>
      <w:r>
        <w:t>universiteten presterar KTH i</w:t>
      </w:r>
      <w:r w:rsidR="00E71B33">
        <w:t xml:space="preserve"> indikatorn:</w:t>
      </w:r>
      <w:r>
        <w:t xml:space="preserve"> </w:t>
      </w:r>
      <w:proofErr w:type="spellStart"/>
      <w:r w:rsidRPr="001C63AB">
        <w:rPr>
          <w:i/>
        </w:rPr>
        <w:t>Divestment</w:t>
      </w:r>
      <w:proofErr w:type="spellEnd"/>
      <w:r w:rsidRPr="001C63AB">
        <w:rPr>
          <w:i/>
        </w:rPr>
        <w:t xml:space="preserve"> policy</w:t>
      </w:r>
      <w:r>
        <w:t xml:space="preserve">, där det flesta </w:t>
      </w:r>
      <w:r w:rsidR="00DB71AC">
        <w:t>jämförelse</w:t>
      </w:r>
      <w:r>
        <w:t xml:space="preserve">universitet inte fick några poäng alls. Mindre väl hävdar sig KTH inom </w:t>
      </w:r>
      <w:r w:rsidRPr="000B3229">
        <w:rPr>
          <w:i/>
        </w:rPr>
        <w:t xml:space="preserve">Plan to </w:t>
      </w:r>
      <w:proofErr w:type="spellStart"/>
      <w:r w:rsidRPr="000B3229">
        <w:rPr>
          <w:i/>
        </w:rPr>
        <w:t>reduce</w:t>
      </w:r>
      <w:proofErr w:type="spellEnd"/>
      <w:r w:rsidRPr="000B3229">
        <w:rPr>
          <w:i/>
        </w:rPr>
        <w:t xml:space="preserve"> </w:t>
      </w:r>
      <w:proofErr w:type="spellStart"/>
      <w:r w:rsidRPr="000B3229">
        <w:rPr>
          <w:i/>
        </w:rPr>
        <w:t>energy</w:t>
      </w:r>
      <w:proofErr w:type="spellEnd"/>
      <w:r w:rsidRPr="000B3229">
        <w:rPr>
          <w:i/>
        </w:rPr>
        <w:t xml:space="preserve"> </w:t>
      </w:r>
      <w:proofErr w:type="spellStart"/>
      <w:r w:rsidRPr="000B3229">
        <w:rPr>
          <w:i/>
        </w:rPr>
        <w:t>consumption</w:t>
      </w:r>
      <w:proofErr w:type="spellEnd"/>
      <w:r>
        <w:t xml:space="preserve"> och här presterar samtliga av urvalsuniversiteten bättre än KTH.</w:t>
      </w:r>
      <w:r w:rsidR="00D606F5">
        <w:t xml:space="preserve"> </w:t>
      </w:r>
    </w:p>
    <w:p w:rsidR="0001483E" w:rsidRDefault="00D606F5" w:rsidP="00EC1BA6">
      <w:pPr>
        <w:pStyle w:val="Brdtext"/>
      </w:pPr>
      <w:r>
        <w:t xml:space="preserve">Sett till </w:t>
      </w:r>
      <w:r w:rsidRPr="000B3229">
        <w:rPr>
          <w:i/>
        </w:rPr>
        <w:t xml:space="preserve">Energy </w:t>
      </w:r>
      <w:proofErr w:type="spellStart"/>
      <w:r w:rsidRPr="000B3229">
        <w:rPr>
          <w:i/>
        </w:rPr>
        <w:t>use</w:t>
      </w:r>
      <w:proofErr w:type="spellEnd"/>
      <w:r w:rsidRPr="000B3229">
        <w:rPr>
          <w:i/>
        </w:rPr>
        <w:t xml:space="preserve"> </w:t>
      </w:r>
      <w:proofErr w:type="spellStart"/>
      <w:r w:rsidRPr="000B3229">
        <w:rPr>
          <w:i/>
        </w:rPr>
        <w:t>density</w:t>
      </w:r>
      <w:proofErr w:type="spellEnd"/>
      <w:r>
        <w:t xml:space="preserve"> presterar </w:t>
      </w:r>
      <w:r w:rsidR="00DB71AC">
        <w:t xml:space="preserve">KTH </w:t>
      </w:r>
      <w:r w:rsidR="005B3445">
        <w:t xml:space="preserve">mindre </w:t>
      </w:r>
      <w:r w:rsidR="00E71B33">
        <w:t>föredömligt</w:t>
      </w:r>
      <w:r>
        <w:t xml:space="preserve">, här presterar Ålborg särskilt väl. MIT fick anmärkningsvärt låga värden. </w:t>
      </w:r>
    </w:p>
    <w:p w:rsidR="001C63AB" w:rsidRDefault="00603DFE" w:rsidP="00EC1BA6">
      <w:pPr>
        <w:pStyle w:val="Brdtext"/>
      </w:pPr>
      <w:r w:rsidRPr="00E71B33">
        <w:t>KTH hävdar sig väl inom</w:t>
      </w:r>
      <w:r w:rsidR="00E71B33" w:rsidRPr="00E71B33">
        <w:t xml:space="preserve"> indikatorn</w:t>
      </w:r>
      <w:r w:rsidR="005B3445">
        <w:t xml:space="preserve"> </w:t>
      </w:r>
      <w:r w:rsidR="005B3445" w:rsidRPr="000B3229">
        <w:rPr>
          <w:i/>
        </w:rPr>
        <w:t xml:space="preserve">Energy and the </w:t>
      </w:r>
      <w:proofErr w:type="spellStart"/>
      <w:r w:rsidR="005B3445" w:rsidRPr="000B3229">
        <w:rPr>
          <w:i/>
        </w:rPr>
        <w:t>community</w:t>
      </w:r>
      <w:proofErr w:type="spellEnd"/>
      <w:r w:rsidR="005B3445">
        <w:t xml:space="preserve">, </w:t>
      </w:r>
      <w:r w:rsidRPr="00E71B33">
        <w:t xml:space="preserve">med maxvärden inom </w:t>
      </w:r>
      <w:r w:rsidR="0026047D">
        <w:t>underindikatorer</w:t>
      </w:r>
      <w:r w:rsidR="00E71B33" w:rsidRPr="00E71B33">
        <w:t>na</w:t>
      </w:r>
      <w:r w:rsidR="00E71B33">
        <w:t>:</w:t>
      </w:r>
      <w:r w:rsidR="00EC1BA6" w:rsidRPr="00E71B33">
        <w:t xml:space="preserve"> </w:t>
      </w:r>
      <w:r w:rsidR="00EC1BA6" w:rsidRPr="000B3229">
        <w:rPr>
          <w:i/>
        </w:rPr>
        <w:t xml:space="preserve">Policy </w:t>
      </w:r>
      <w:proofErr w:type="spellStart"/>
      <w:r w:rsidR="00EC1BA6" w:rsidRPr="000B3229">
        <w:rPr>
          <w:i/>
        </w:rPr>
        <w:t>development</w:t>
      </w:r>
      <w:proofErr w:type="spellEnd"/>
      <w:r w:rsidR="00EC1BA6" w:rsidRPr="000B3229">
        <w:rPr>
          <w:i/>
        </w:rPr>
        <w:t xml:space="preserve"> for </w:t>
      </w:r>
      <w:proofErr w:type="spellStart"/>
      <w:r w:rsidR="00EC1BA6" w:rsidRPr="000B3229">
        <w:rPr>
          <w:i/>
        </w:rPr>
        <w:t>clean</w:t>
      </w:r>
      <w:proofErr w:type="spellEnd"/>
      <w:r w:rsidR="00EC1BA6" w:rsidRPr="000B3229">
        <w:rPr>
          <w:i/>
        </w:rPr>
        <w:t xml:space="preserve"> </w:t>
      </w:r>
      <w:proofErr w:type="spellStart"/>
      <w:r w:rsidR="00EC1BA6" w:rsidRPr="000B3229">
        <w:rPr>
          <w:i/>
        </w:rPr>
        <w:t>energy</w:t>
      </w:r>
      <w:proofErr w:type="spellEnd"/>
      <w:r w:rsidR="00EC1BA6" w:rsidRPr="000B3229">
        <w:rPr>
          <w:i/>
        </w:rPr>
        <w:t xml:space="preserve"> </w:t>
      </w:r>
      <w:proofErr w:type="spellStart"/>
      <w:r w:rsidR="00EC1BA6" w:rsidRPr="000B3229">
        <w:rPr>
          <w:i/>
        </w:rPr>
        <w:t>tech</w:t>
      </w:r>
      <w:r w:rsidR="000B3229" w:rsidRPr="000B3229">
        <w:rPr>
          <w:i/>
        </w:rPr>
        <w:t>nology</w:t>
      </w:r>
      <w:proofErr w:type="spellEnd"/>
      <w:r w:rsidR="00EC1BA6" w:rsidRPr="00E71B33">
        <w:t xml:space="preserve"> och </w:t>
      </w:r>
      <w:proofErr w:type="spellStart"/>
      <w:r w:rsidR="00EC1BA6" w:rsidRPr="000B3229">
        <w:rPr>
          <w:i/>
        </w:rPr>
        <w:t>Assistance</w:t>
      </w:r>
      <w:proofErr w:type="spellEnd"/>
      <w:r w:rsidR="00EC1BA6" w:rsidRPr="000B3229">
        <w:rPr>
          <w:i/>
        </w:rPr>
        <w:t xml:space="preserve"> to </w:t>
      </w:r>
      <w:proofErr w:type="spellStart"/>
      <w:r w:rsidR="00EC1BA6" w:rsidRPr="000B3229">
        <w:rPr>
          <w:i/>
        </w:rPr>
        <w:t>low-carbon</w:t>
      </w:r>
      <w:proofErr w:type="spellEnd"/>
      <w:r w:rsidR="00EC1BA6" w:rsidRPr="000B3229">
        <w:rPr>
          <w:i/>
        </w:rPr>
        <w:t xml:space="preserve"> innovation</w:t>
      </w:r>
      <w:r w:rsidR="000B3229">
        <w:t xml:space="preserve"> samt mycket goda värden i </w:t>
      </w:r>
      <w:proofErr w:type="spellStart"/>
      <w:r w:rsidR="000B3229" w:rsidRPr="000B3229">
        <w:rPr>
          <w:i/>
        </w:rPr>
        <w:t>L</w:t>
      </w:r>
      <w:r w:rsidR="00EC1BA6" w:rsidRPr="000B3229">
        <w:rPr>
          <w:i/>
        </w:rPr>
        <w:t>ocal</w:t>
      </w:r>
      <w:proofErr w:type="spellEnd"/>
      <w:r w:rsidR="00EC1BA6" w:rsidRPr="000B3229">
        <w:rPr>
          <w:i/>
        </w:rPr>
        <w:t xml:space="preserve"> </w:t>
      </w:r>
      <w:proofErr w:type="spellStart"/>
      <w:r w:rsidR="00EC1BA6" w:rsidRPr="000B3229">
        <w:rPr>
          <w:i/>
        </w:rPr>
        <w:t>community</w:t>
      </w:r>
      <w:proofErr w:type="spellEnd"/>
      <w:r w:rsidR="00EC1BA6" w:rsidRPr="000B3229">
        <w:rPr>
          <w:i/>
        </w:rPr>
        <w:t xml:space="preserve"> </w:t>
      </w:r>
      <w:proofErr w:type="spellStart"/>
      <w:r w:rsidR="00EC1BA6" w:rsidRPr="000B3229">
        <w:rPr>
          <w:i/>
        </w:rPr>
        <w:t>outreach</w:t>
      </w:r>
      <w:proofErr w:type="spellEnd"/>
      <w:r w:rsidR="00EC1BA6" w:rsidRPr="000B3229">
        <w:rPr>
          <w:i/>
        </w:rPr>
        <w:t xml:space="preserve"> for </w:t>
      </w:r>
      <w:proofErr w:type="spellStart"/>
      <w:r w:rsidR="00EC1BA6" w:rsidRPr="000B3229">
        <w:rPr>
          <w:i/>
        </w:rPr>
        <w:t>energy</w:t>
      </w:r>
      <w:proofErr w:type="spellEnd"/>
      <w:r w:rsidR="00EC1BA6" w:rsidRPr="000B3229">
        <w:rPr>
          <w:i/>
        </w:rPr>
        <w:t xml:space="preserve"> </w:t>
      </w:r>
      <w:proofErr w:type="spellStart"/>
      <w:r w:rsidR="00EC1BA6" w:rsidRPr="000B3229">
        <w:rPr>
          <w:i/>
        </w:rPr>
        <w:t>efficiency</w:t>
      </w:r>
      <w:proofErr w:type="spellEnd"/>
      <w:r w:rsidR="00EC1BA6" w:rsidRPr="00E71B33">
        <w:t xml:space="preserve">. </w:t>
      </w:r>
      <w:r w:rsidR="00EC1BA6" w:rsidRPr="00EC1BA6">
        <w:t>Svagt prest</w:t>
      </w:r>
      <w:r w:rsidR="0001483E">
        <w:t>e</w:t>
      </w:r>
      <w:r w:rsidR="005509E3">
        <w:t>rar KTH</w:t>
      </w:r>
      <w:r w:rsidR="00EC1BA6" w:rsidRPr="00EC1BA6">
        <w:t xml:space="preserve"> inom</w:t>
      </w:r>
      <w:r w:rsidR="00EC05C9">
        <w:t xml:space="preserve"> delindikatorn</w:t>
      </w:r>
      <w:r w:rsidR="00EC1BA6" w:rsidRPr="00EC1BA6">
        <w:t xml:space="preserve"> </w:t>
      </w:r>
      <w:r w:rsidR="00EC1BA6" w:rsidRPr="000B3229">
        <w:rPr>
          <w:i/>
        </w:rPr>
        <w:t xml:space="preserve">100% </w:t>
      </w:r>
      <w:proofErr w:type="spellStart"/>
      <w:r w:rsidR="00EC1BA6" w:rsidRPr="000B3229">
        <w:rPr>
          <w:i/>
        </w:rPr>
        <w:t>renewable</w:t>
      </w:r>
      <w:proofErr w:type="spellEnd"/>
      <w:r w:rsidR="00EC1BA6" w:rsidRPr="000B3229">
        <w:rPr>
          <w:i/>
        </w:rPr>
        <w:t xml:space="preserve"> </w:t>
      </w:r>
      <w:proofErr w:type="spellStart"/>
      <w:r w:rsidR="00EC1BA6" w:rsidRPr="000B3229">
        <w:rPr>
          <w:i/>
        </w:rPr>
        <w:t>energy</w:t>
      </w:r>
      <w:proofErr w:type="spellEnd"/>
      <w:r w:rsidR="00EC1BA6" w:rsidRPr="000B3229">
        <w:rPr>
          <w:i/>
        </w:rPr>
        <w:t xml:space="preserve"> </w:t>
      </w:r>
      <w:proofErr w:type="spellStart"/>
      <w:r w:rsidR="00EC1BA6" w:rsidRPr="000B3229">
        <w:rPr>
          <w:i/>
        </w:rPr>
        <w:t>pledge</w:t>
      </w:r>
      <w:proofErr w:type="spellEnd"/>
      <w:r w:rsidR="00EC1BA6" w:rsidRPr="00EC1BA6">
        <w:t xml:space="preserve">. </w:t>
      </w:r>
    </w:p>
    <w:p w:rsidR="00156524" w:rsidRPr="00EC1BA6" w:rsidRDefault="00C4684B" w:rsidP="00324325">
      <w:pPr>
        <w:pStyle w:val="Brdtext"/>
      </w:pPr>
      <w:r w:rsidRPr="00EC1BA6">
        <w:t>Slående är</w:t>
      </w:r>
      <w:r>
        <w:t xml:space="preserve"> att</w:t>
      </w:r>
      <w:r w:rsidRPr="00EC1BA6">
        <w:t xml:space="preserve"> nästan samtliga jämförelseuniversitet fick mycket höga värden inom </w:t>
      </w:r>
      <w:r>
        <w:t>detta globala mål.</w:t>
      </w:r>
    </w:p>
    <w:p w:rsidR="00324325" w:rsidRPr="00156524" w:rsidRDefault="00324325" w:rsidP="000C272F">
      <w:pPr>
        <w:pStyle w:val="Rubrik3"/>
        <w:rPr>
          <w:lang w:val="en-US"/>
        </w:rPr>
      </w:pPr>
      <w:bookmarkStart w:id="7" w:name="_Toc63236559"/>
      <w:r w:rsidRPr="00AD3214">
        <w:rPr>
          <w:lang w:val="en-US"/>
        </w:rPr>
        <w:lastRenderedPageBreak/>
        <w:t>SDG 8</w:t>
      </w:r>
      <w:r w:rsidR="00AF18C7" w:rsidRPr="00AD3214">
        <w:rPr>
          <w:lang w:val="en-US"/>
        </w:rPr>
        <w:t xml:space="preserve"> Decent Work and Economic Gro</w:t>
      </w:r>
      <w:r w:rsidR="00AF18C7" w:rsidRPr="00156524">
        <w:rPr>
          <w:lang w:val="en-US"/>
        </w:rPr>
        <w:t>wth</w:t>
      </w:r>
      <w:bookmarkEnd w:id="7"/>
    </w:p>
    <w:p w:rsidR="00324325" w:rsidRDefault="00EC05C9" w:rsidP="00324325">
      <w:pPr>
        <w:pStyle w:val="Brdtext"/>
      </w:pPr>
      <w:proofErr w:type="spellStart"/>
      <w:r w:rsidRPr="00EC05C9">
        <w:t>Bibliometriskt</w:t>
      </w:r>
      <w:proofErr w:type="spellEnd"/>
      <w:r w:rsidRPr="00EC05C9">
        <w:t xml:space="preserve"> </w:t>
      </w:r>
      <w:r w:rsidR="00F60B2A">
        <w:t>gör</w:t>
      </w:r>
      <w:r w:rsidR="00596A7A">
        <w:t xml:space="preserve"> KTH mycket väl</w:t>
      </w:r>
      <w:r w:rsidR="00F60B2A">
        <w:t xml:space="preserve"> ifrån sig</w:t>
      </w:r>
      <w:r w:rsidR="00596A7A">
        <w:t xml:space="preserve">, såväl citeringsmässigt som volymmässigt, i den forskning som berör </w:t>
      </w:r>
      <w:r w:rsidR="001C63AB">
        <w:t xml:space="preserve">anständiga arbetsvillkor och ekonomisk tillväxt </w:t>
      </w:r>
      <w:r w:rsidR="00596A7A">
        <w:t xml:space="preserve">med bättre värden än de övriga universiteten i jämförelsegruppen. </w:t>
      </w:r>
    </w:p>
    <w:p w:rsidR="00BD2CC7" w:rsidRDefault="002F61BC" w:rsidP="001F45F6">
      <w:pPr>
        <w:pStyle w:val="Brdtext"/>
        <w:rPr>
          <w:lang w:val="en-US"/>
        </w:rPr>
      </w:pPr>
      <w:r>
        <w:t xml:space="preserve">I indikatorn </w:t>
      </w:r>
      <w:proofErr w:type="spellStart"/>
      <w:r w:rsidR="00B70268" w:rsidRPr="000B3229">
        <w:rPr>
          <w:i/>
        </w:rPr>
        <w:t>Employment</w:t>
      </w:r>
      <w:proofErr w:type="spellEnd"/>
      <w:r w:rsidR="00B70268" w:rsidRPr="000B3229">
        <w:rPr>
          <w:i/>
        </w:rPr>
        <w:t xml:space="preserve"> </w:t>
      </w:r>
      <w:proofErr w:type="spellStart"/>
      <w:r w:rsidR="00B70268" w:rsidRPr="000B3229">
        <w:rPr>
          <w:i/>
        </w:rPr>
        <w:t>practices</w:t>
      </w:r>
      <w:proofErr w:type="spellEnd"/>
      <w:r w:rsidR="00B70268">
        <w:t xml:space="preserve"> hamnar KTH</w:t>
      </w:r>
      <w:r w:rsidR="00F5744A">
        <w:t xml:space="preserve"> i mittsegmentet sett till jämför</w:t>
      </w:r>
      <w:r w:rsidR="00F11E17">
        <w:t>elsegruppen. Noterbart är att</w:t>
      </w:r>
      <w:r w:rsidR="00F5744A">
        <w:t xml:space="preserve"> universi</w:t>
      </w:r>
      <w:r w:rsidR="00B9132F">
        <w:t xml:space="preserve">tet med brittisk rättstradition/ -praxis </w:t>
      </w:r>
      <w:r w:rsidR="00F5744A">
        <w:t xml:space="preserve">presterar mycket väl. </w:t>
      </w:r>
      <w:r w:rsidR="001F45F6" w:rsidRPr="001F45F6">
        <w:rPr>
          <w:lang w:val="en-US"/>
        </w:rPr>
        <w:t xml:space="preserve">KTH </w:t>
      </w:r>
      <w:proofErr w:type="spellStart"/>
      <w:r w:rsidR="00B9132F">
        <w:rPr>
          <w:lang w:val="en-US"/>
        </w:rPr>
        <w:t>utmärker</w:t>
      </w:r>
      <w:proofErr w:type="spellEnd"/>
      <w:r w:rsidR="00B9132F">
        <w:rPr>
          <w:lang w:val="en-US"/>
        </w:rPr>
        <w:t xml:space="preserve"> sig</w:t>
      </w:r>
      <w:r w:rsidR="001F45F6" w:rsidRPr="001F45F6">
        <w:rPr>
          <w:lang w:val="en-US"/>
        </w:rPr>
        <w:t xml:space="preserve"> </w:t>
      </w:r>
      <w:proofErr w:type="spellStart"/>
      <w:r w:rsidR="001F45F6" w:rsidRPr="001F45F6">
        <w:rPr>
          <w:lang w:val="en-US"/>
        </w:rPr>
        <w:t>inom</w:t>
      </w:r>
      <w:proofErr w:type="spellEnd"/>
      <w:r w:rsidR="001F45F6" w:rsidRPr="001F45F6">
        <w:rPr>
          <w:lang w:val="en-US"/>
        </w:rPr>
        <w:t xml:space="preserve"> </w:t>
      </w:r>
      <w:proofErr w:type="spellStart"/>
      <w:r w:rsidR="00F60B2A">
        <w:rPr>
          <w:lang w:val="en-US"/>
        </w:rPr>
        <w:t>under</w:t>
      </w:r>
      <w:r w:rsidR="001F45F6" w:rsidRPr="001F45F6">
        <w:rPr>
          <w:lang w:val="en-US"/>
        </w:rPr>
        <w:t>i</w:t>
      </w:r>
      <w:r w:rsidR="00F60B2A">
        <w:rPr>
          <w:lang w:val="en-US"/>
        </w:rPr>
        <w:t>ndi</w:t>
      </w:r>
      <w:r w:rsidR="001F45F6" w:rsidRPr="001F45F6">
        <w:rPr>
          <w:lang w:val="en-US"/>
        </w:rPr>
        <w:t>katorerna</w:t>
      </w:r>
      <w:proofErr w:type="spellEnd"/>
      <w:r w:rsidR="001F45F6" w:rsidRPr="001F45F6">
        <w:rPr>
          <w:lang w:val="en-US"/>
        </w:rPr>
        <w:t xml:space="preserve">: </w:t>
      </w:r>
      <w:r w:rsidR="001F45F6" w:rsidRPr="000B3229">
        <w:rPr>
          <w:i/>
          <w:lang w:val="en-US"/>
        </w:rPr>
        <w:t>Employment practice unions</w:t>
      </w:r>
      <w:r w:rsidR="001F45F6" w:rsidRPr="001F45F6">
        <w:rPr>
          <w:lang w:val="en-US"/>
        </w:rPr>
        <w:t xml:space="preserve">, </w:t>
      </w:r>
      <w:r w:rsidR="001F45F6" w:rsidRPr="000B3229">
        <w:rPr>
          <w:i/>
          <w:lang w:val="en-US"/>
        </w:rPr>
        <w:t>Employment policy on discrimination</w:t>
      </w:r>
      <w:r w:rsidR="001F45F6" w:rsidRPr="001F45F6">
        <w:rPr>
          <w:lang w:val="en-US"/>
        </w:rPr>
        <w:t xml:space="preserve">, </w:t>
      </w:r>
      <w:r w:rsidR="001F45F6" w:rsidRPr="000B3229">
        <w:rPr>
          <w:i/>
          <w:lang w:val="en-US"/>
        </w:rPr>
        <w:t>Employment policy pay scale equity</w:t>
      </w:r>
      <w:r w:rsidR="001F45F6">
        <w:rPr>
          <w:lang w:val="en-US"/>
        </w:rPr>
        <w:t xml:space="preserve"> </w:t>
      </w:r>
      <w:proofErr w:type="spellStart"/>
      <w:r w:rsidR="001F45F6">
        <w:rPr>
          <w:lang w:val="en-US"/>
        </w:rPr>
        <w:t>och</w:t>
      </w:r>
      <w:proofErr w:type="spellEnd"/>
      <w:r w:rsidR="001F45F6">
        <w:rPr>
          <w:lang w:val="en-US"/>
        </w:rPr>
        <w:t xml:space="preserve"> </w:t>
      </w:r>
      <w:r w:rsidR="001F45F6" w:rsidRPr="000B3229">
        <w:rPr>
          <w:i/>
          <w:lang w:val="en-US"/>
        </w:rPr>
        <w:t>Employment policy pay scale equity</w:t>
      </w:r>
      <w:r w:rsidR="001F45F6">
        <w:rPr>
          <w:lang w:val="en-US"/>
        </w:rPr>
        <w:t xml:space="preserve">. </w:t>
      </w:r>
    </w:p>
    <w:p w:rsidR="002F61BC" w:rsidRPr="001F45F6" w:rsidRDefault="001F45F6" w:rsidP="001F45F6">
      <w:pPr>
        <w:pStyle w:val="Brdtext"/>
      </w:pPr>
      <w:proofErr w:type="spellStart"/>
      <w:r w:rsidRPr="001F45F6">
        <w:rPr>
          <w:lang w:val="en-US"/>
        </w:rPr>
        <w:t>Svagt</w:t>
      </w:r>
      <w:proofErr w:type="spellEnd"/>
      <w:r w:rsidRPr="001F45F6">
        <w:rPr>
          <w:lang w:val="en-US"/>
        </w:rPr>
        <w:t xml:space="preserve"> </w:t>
      </w:r>
      <w:proofErr w:type="spellStart"/>
      <w:r w:rsidRPr="001F45F6">
        <w:rPr>
          <w:lang w:val="en-US"/>
        </w:rPr>
        <w:t>presterar</w:t>
      </w:r>
      <w:proofErr w:type="spellEnd"/>
      <w:r w:rsidRPr="001F45F6">
        <w:rPr>
          <w:lang w:val="en-US"/>
        </w:rPr>
        <w:t xml:space="preserve"> </w:t>
      </w:r>
      <w:proofErr w:type="gramStart"/>
      <w:r w:rsidRPr="001F45F6">
        <w:rPr>
          <w:lang w:val="en-US"/>
        </w:rPr>
        <w:t>vi</w:t>
      </w:r>
      <w:proofErr w:type="gramEnd"/>
      <w:r w:rsidRPr="001F45F6">
        <w:rPr>
          <w:lang w:val="en-US"/>
        </w:rPr>
        <w:t xml:space="preserve"> </w:t>
      </w:r>
      <w:proofErr w:type="spellStart"/>
      <w:r w:rsidRPr="001F45F6">
        <w:rPr>
          <w:lang w:val="en-US"/>
        </w:rPr>
        <w:t>inom</w:t>
      </w:r>
      <w:proofErr w:type="spellEnd"/>
      <w:r w:rsidRPr="001F45F6">
        <w:rPr>
          <w:lang w:val="en-US"/>
        </w:rPr>
        <w:t xml:space="preserve"> </w:t>
      </w:r>
      <w:r w:rsidRPr="000B3229">
        <w:rPr>
          <w:i/>
          <w:lang w:val="en-US"/>
        </w:rPr>
        <w:t>Tracking pay scale for gender equity</w:t>
      </w:r>
      <w:r w:rsidRPr="001F45F6">
        <w:rPr>
          <w:lang w:val="en-US"/>
        </w:rPr>
        <w:t xml:space="preserve">, </w:t>
      </w:r>
      <w:proofErr w:type="spellStart"/>
      <w:r w:rsidRPr="001F45F6">
        <w:rPr>
          <w:lang w:val="en-US"/>
        </w:rPr>
        <w:t>där</w:t>
      </w:r>
      <w:proofErr w:type="spellEnd"/>
      <w:r w:rsidRPr="001F45F6">
        <w:rPr>
          <w:lang w:val="en-US"/>
        </w:rPr>
        <w:t xml:space="preserve"> </w:t>
      </w:r>
      <w:proofErr w:type="spellStart"/>
      <w:r w:rsidRPr="001F45F6">
        <w:rPr>
          <w:lang w:val="en-US"/>
        </w:rPr>
        <w:t>nästan</w:t>
      </w:r>
      <w:proofErr w:type="spellEnd"/>
      <w:r w:rsidRPr="001F45F6">
        <w:rPr>
          <w:lang w:val="en-US"/>
        </w:rPr>
        <w:t xml:space="preserve"> </w:t>
      </w:r>
      <w:proofErr w:type="spellStart"/>
      <w:r w:rsidRPr="001F45F6">
        <w:rPr>
          <w:lang w:val="en-US"/>
        </w:rPr>
        <w:t>samtliga</w:t>
      </w:r>
      <w:proofErr w:type="spellEnd"/>
      <w:r w:rsidRPr="001F45F6">
        <w:rPr>
          <w:lang w:val="en-US"/>
        </w:rPr>
        <w:t xml:space="preserve"> </w:t>
      </w:r>
      <w:proofErr w:type="spellStart"/>
      <w:r w:rsidRPr="001F45F6">
        <w:rPr>
          <w:lang w:val="en-US"/>
        </w:rPr>
        <w:t>av</w:t>
      </w:r>
      <w:proofErr w:type="spellEnd"/>
      <w:r w:rsidRPr="001F45F6">
        <w:rPr>
          <w:lang w:val="en-US"/>
        </w:rPr>
        <w:t xml:space="preserve"> </w:t>
      </w:r>
      <w:proofErr w:type="spellStart"/>
      <w:r w:rsidRPr="001F45F6">
        <w:rPr>
          <w:lang w:val="en-US"/>
        </w:rPr>
        <w:t>jämförelseuniversitet</w:t>
      </w:r>
      <w:r>
        <w:rPr>
          <w:lang w:val="en-US"/>
        </w:rPr>
        <w:t>e</w:t>
      </w:r>
      <w:r w:rsidRPr="001F45F6">
        <w:rPr>
          <w:lang w:val="en-US"/>
        </w:rPr>
        <w:t>n</w:t>
      </w:r>
      <w:proofErr w:type="spellEnd"/>
      <w:r w:rsidRPr="001F45F6">
        <w:rPr>
          <w:lang w:val="en-US"/>
        </w:rPr>
        <w:t xml:space="preserve"> </w:t>
      </w:r>
      <w:proofErr w:type="spellStart"/>
      <w:r w:rsidRPr="001F45F6">
        <w:rPr>
          <w:lang w:val="en-US"/>
        </w:rPr>
        <w:t>presterar</w:t>
      </w:r>
      <w:proofErr w:type="spellEnd"/>
      <w:r w:rsidRPr="001F45F6">
        <w:rPr>
          <w:lang w:val="en-US"/>
        </w:rPr>
        <w:t xml:space="preserve"> </w:t>
      </w:r>
      <w:proofErr w:type="spellStart"/>
      <w:r w:rsidRPr="001F45F6">
        <w:rPr>
          <w:lang w:val="en-US"/>
        </w:rPr>
        <w:t>bättre</w:t>
      </w:r>
      <w:proofErr w:type="spellEnd"/>
      <w:r w:rsidRPr="001F45F6">
        <w:rPr>
          <w:lang w:val="en-US"/>
        </w:rPr>
        <w:t xml:space="preserve">, </w:t>
      </w:r>
      <w:r w:rsidRPr="000B3229">
        <w:rPr>
          <w:i/>
          <w:lang w:val="en-US"/>
        </w:rPr>
        <w:t>Employment practice equivalent rights outsourcing</w:t>
      </w:r>
      <w:r>
        <w:rPr>
          <w:lang w:val="en-US"/>
        </w:rPr>
        <w:t xml:space="preserve"> </w:t>
      </w:r>
      <w:proofErr w:type="spellStart"/>
      <w:r>
        <w:rPr>
          <w:lang w:val="en-US"/>
        </w:rPr>
        <w:t>och</w:t>
      </w:r>
      <w:proofErr w:type="spellEnd"/>
      <w:r>
        <w:rPr>
          <w:lang w:val="en-US"/>
        </w:rPr>
        <w:t xml:space="preserve"> </w:t>
      </w:r>
      <w:r w:rsidRPr="000B3229">
        <w:rPr>
          <w:i/>
          <w:lang w:val="en-US"/>
        </w:rPr>
        <w:t>Employment policy modern slavery</w:t>
      </w:r>
      <w:r>
        <w:rPr>
          <w:lang w:val="en-US"/>
        </w:rPr>
        <w:t xml:space="preserve">. </w:t>
      </w:r>
      <w:r w:rsidRPr="001F45F6">
        <w:t xml:space="preserve">Också Göteborgs universitet presterar sämre i de två sistnämnda </w:t>
      </w:r>
      <w:r w:rsidR="0026047D">
        <w:t>underindikatorer</w:t>
      </w:r>
      <w:r w:rsidRPr="001F45F6">
        <w:t>na, något som</w:t>
      </w:r>
      <w:r w:rsidR="00F11E17">
        <w:t xml:space="preserve"> indikerar</w:t>
      </w:r>
      <w:r w:rsidR="00951CB9">
        <w:t xml:space="preserve"> att varken KTH el</w:t>
      </w:r>
      <w:r w:rsidRPr="001F45F6">
        <w:t>l</w:t>
      </w:r>
      <w:r w:rsidR="00951CB9">
        <w:t>e</w:t>
      </w:r>
      <w:r w:rsidRPr="001F45F6">
        <w:t xml:space="preserve">r Göteborg tagit fram särskilda dokument </w:t>
      </w:r>
      <w:r w:rsidR="00B9132F">
        <w:t>med syfte att</w:t>
      </w:r>
      <w:r w:rsidRPr="001F45F6">
        <w:t xml:space="preserve"> reglera detta</w:t>
      </w:r>
      <w:r w:rsidR="00B9132F">
        <w:t>, beroende på att detta redan täcks av svensk lagstiftning</w:t>
      </w:r>
      <w:r w:rsidRPr="001F45F6">
        <w:t xml:space="preserve">. </w:t>
      </w:r>
    </w:p>
    <w:p w:rsidR="00E1064F" w:rsidRDefault="003D12DF" w:rsidP="00E1064F">
      <w:pPr>
        <w:pStyle w:val="Brdtext"/>
      </w:pPr>
      <w:r>
        <w:t>Inge</w:t>
      </w:r>
      <w:r w:rsidR="004F1A90">
        <w:t>t</w:t>
      </w:r>
      <w:r>
        <w:t xml:space="preserve"> av jämförelseunivers</w:t>
      </w:r>
      <w:r w:rsidR="00E1064F">
        <w:t>iteten prestera</w:t>
      </w:r>
      <w:r w:rsidR="00F11E17">
        <w:t>r</w:t>
      </w:r>
      <w:r w:rsidR="00E1064F">
        <w:t xml:space="preserve"> särskilt väl inom indikatorn </w:t>
      </w:r>
      <w:proofErr w:type="spellStart"/>
      <w:r w:rsidR="00E1064F" w:rsidRPr="000B3229">
        <w:rPr>
          <w:i/>
        </w:rPr>
        <w:t>Expenditure</w:t>
      </w:r>
      <w:proofErr w:type="spellEnd"/>
      <w:r w:rsidR="00E1064F" w:rsidRPr="000B3229">
        <w:rPr>
          <w:i/>
        </w:rPr>
        <w:t xml:space="preserve"> per </w:t>
      </w:r>
      <w:proofErr w:type="spellStart"/>
      <w:r w:rsidR="00E1064F" w:rsidRPr="000B3229">
        <w:rPr>
          <w:i/>
        </w:rPr>
        <w:t>employee</w:t>
      </w:r>
      <w:proofErr w:type="spellEnd"/>
      <w:r w:rsidR="00E1064F">
        <w:t>.</w:t>
      </w:r>
    </w:p>
    <w:p w:rsidR="00E1064F" w:rsidRDefault="00E1064F" w:rsidP="00E1064F">
      <w:pPr>
        <w:pStyle w:val="Brdtext"/>
      </w:pPr>
      <w:r>
        <w:t xml:space="preserve">Ser vi till indikatorn </w:t>
      </w:r>
      <w:r w:rsidRPr="000B3229">
        <w:rPr>
          <w:i/>
        </w:rPr>
        <w:t xml:space="preserve">Proportion of students </w:t>
      </w:r>
      <w:proofErr w:type="spellStart"/>
      <w:r w:rsidRPr="000B3229">
        <w:rPr>
          <w:i/>
        </w:rPr>
        <w:t>taking</w:t>
      </w:r>
      <w:proofErr w:type="spellEnd"/>
      <w:r w:rsidRPr="000B3229">
        <w:rPr>
          <w:i/>
        </w:rPr>
        <w:t xml:space="preserve"> </w:t>
      </w:r>
      <w:proofErr w:type="spellStart"/>
      <w:r w:rsidRPr="000B3229">
        <w:rPr>
          <w:i/>
        </w:rPr>
        <w:t>work</w:t>
      </w:r>
      <w:proofErr w:type="spellEnd"/>
      <w:r w:rsidRPr="000B3229">
        <w:rPr>
          <w:i/>
        </w:rPr>
        <w:t xml:space="preserve"> </w:t>
      </w:r>
      <w:proofErr w:type="spellStart"/>
      <w:r w:rsidRPr="000B3229">
        <w:rPr>
          <w:i/>
        </w:rPr>
        <w:t>placements</w:t>
      </w:r>
      <w:proofErr w:type="spellEnd"/>
      <w:r>
        <w:t xml:space="preserve"> hamnar KTH i </w:t>
      </w:r>
      <w:r w:rsidR="00F11E17">
        <w:t xml:space="preserve">det </w:t>
      </w:r>
      <w:r>
        <w:t xml:space="preserve">lägre segmentet </w:t>
      </w:r>
      <w:r w:rsidR="003D12DF">
        <w:t>tillsammans med</w:t>
      </w:r>
      <w:r>
        <w:t xml:space="preserve"> Aalto och Quee</w:t>
      </w:r>
      <w:r w:rsidR="0026047D">
        <w:t>n</w:t>
      </w:r>
      <w:r>
        <w:t xml:space="preserve">sland University of Technology. Riktigt höga värden fick </w:t>
      </w:r>
      <w:proofErr w:type="spellStart"/>
      <w:r>
        <w:t>Ecolé</w:t>
      </w:r>
      <w:proofErr w:type="spellEnd"/>
      <w:r>
        <w:t xml:space="preserve"> Polytechnique, Waterloo och Auckland University o</w:t>
      </w:r>
      <w:r w:rsidR="00D15083">
        <w:t>f</w:t>
      </w:r>
      <w:r>
        <w:t xml:space="preserve"> Technology. </w:t>
      </w:r>
    </w:p>
    <w:p w:rsidR="00D15083" w:rsidRPr="00D15083" w:rsidRDefault="00D15083" w:rsidP="00E1064F">
      <w:pPr>
        <w:pStyle w:val="Brdtext"/>
      </w:pPr>
      <w:r w:rsidRPr="00D15083">
        <w:t xml:space="preserve">För indikatorn </w:t>
      </w:r>
      <w:r w:rsidRPr="000B3229">
        <w:rPr>
          <w:i/>
        </w:rPr>
        <w:t xml:space="preserve">Proportion of </w:t>
      </w:r>
      <w:proofErr w:type="spellStart"/>
      <w:r w:rsidRPr="000B3229">
        <w:rPr>
          <w:i/>
        </w:rPr>
        <w:t>employees</w:t>
      </w:r>
      <w:proofErr w:type="spellEnd"/>
      <w:r w:rsidRPr="000B3229">
        <w:rPr>
          <w:i/>
        </w:rPr>
        <w:t xml:space="preserve"> on </w:t>
      </w:r>
      <w:proofErr w:type="spellStart"/>
      <w:r w:rsidRPr="000B3229">
        <w:rPr>
          <w:i/>
        </w:rPr>
        <w:t>secure</w:t>
      </w:r>
      <w:proofErr w:type="spellEnd"/>
      <w:r w:rsidRPr="000B3229">
        <w:rPr>
          <w:i/>
        </w:rPr>
        <w:t xml:space="preserve"> </w:t>
      </w:r>
      <w:proofErr w:type="spellStart"/>
      <w:r w:rsidRPr="000B3229">
        <w:rPr>
          <w:i/>
        </w:rPr>
        <w:t>contracts</w:t>
      </w:r>
      <w:proofErr w:type="spellEnd"/>
      <w:r w:rsidRPr="00D15083">
        <w:t xml:space="preserve"> har Aalto och UPC relativt låga värden medan </w:t>
      </w:r>
      <w:r>
        <w:t>Auckland</w:t>
      </w:r>
      <w:r w:rsidR="001B76D2">
        <w:t xml:space="preserve"> University of Technology och Å</w:t>
      </w:r>
      <w:r>
        <w:t xml:space="preserve">lborg får mycket höga. KTH hamnar </w:t>
      </w:r>
      <w:r w:rsidR="003D12DF">
        <w:t>inom den</w:t>
      </w:r>
      <w:r>
        <w:t xml:space="preserve"> 75 procent främsta percentilen. </w:t>
      </w:r>
    </w:p>
    <w:p w:rsidR="00156524" w:rsidRPr="00D15083" w:rsidRDefault="00156524" w:rsidP="00324325">
      <w:pPr>
        <w:pStyle w:val="Brdtext"/>
      </w:pPr>
    </w:p>
    <w:p w:rsidR="00324325" w:rsidRPr="007936D6" w:rsidRDefault="00324325" w:rsidP="000C272F">
      <w:pPr>
        <w:pStyle w:val="Rubrik3"/>
      </w:pPr>
      <w:bookmarkStart w:id="8" w:name="_Toc63236560"/>
      <w:r w:rsidRPr="007936D6">
        <w:t>SDG 9</w:t>
      </w:r>
      <w:r w:rsidR="00AF18C7" w:rsidRPr="007936D6">
        <w:t xml:space="preserve"> Industry, Innovation and </w:t>
      </w:r>
      <w:proofErr w:type="spellStart"/>
      <w:r w:rsidR="00AF18C7" w:rsidRPr="007936D6">
        <w:t>Infrastructure</w:t>
      </w:r>
      <w:bookmarkEnd w:id="8"/>
      <w:proofErr w:type="spellEnd"/>
    </w:p>
    <w:p w:rsidR="00156524" w:rsidRPr="00D05CCF" w:rsidRDefault="0051651A" w:rsidP="00324325">
      <w:pPr>
        <w:pStyle w:val="Brdtext"/>
      </w:pPr>
      <w:r w:rsidRPr="00D05CCF">
        <w:t xml:space="preserve">KTH presterar mycket starkt inom indikatorerna: </w:t>
      </w:r>
      <w:r w:rsidRPr="000B3229">
        <w:rPr>
          <w:i/>
        </w:rPr>
        <w:t xml:space="preserve">Research on </w:t>
      </w:r>
      <w:proofErr w:type="spellStart"/>
      <w:r w:rsidRPr="000B3229">
        <w:rPr>
          <w:i/>
        </w:rPr>
        <w:t>industry</w:t>
      </w:r>
      <w:proofErr w:type="spellEnd"/>
      <w:r w:rsidRPr="000B3229">
        <w:rPr>
          <w:i/>
        </w:rPr>
        <w:t xml:space="preserve">, innovation and </w:t>
      </w:r>
      <w:proofErr w:type="spellStart"/>
      <w:r w:rsidRPr="000B3229">
        <w:rPr>
          <w:i/>
        </w:rPr>
        <w:t>infrastructure</w:t>
      </w:r>
      <w:proofErr w:type="spellEnd"/>
      <w:r w:rsidRPr="00D05CCF">
        <w:t xml:space="preserve">, </w:t>
      </w:r>
      <w:r w:rsidRPr="000B3229">
        <w:rPr>
          <w:i/>
        </w:rPr>
        <w:t xml:space="preserve">Patents </w:t>
      </w:r>
      <w:proofErr w:type="spellStart"/>
      <w:r w:rsidRPr="000B3229">
        <w:rPr>
          <w:i/>
        </w:rPr>
        <w:t>citing</w:t>
      </w:r>
      <w:proofErr w:type="spellEnd"/>
      <w:r w:rsidRPr="000B3229">
        <w:rPr>
          <w:i/>
        </w:rPr>
        <w:t xml:space="preserve"> </w:t>
      </w:r>
      <w:proofErr w:type="spellStart"/>
      <w:r w:rsidRPr="000B3229">
        <w:rPr>
          <w:i/>
        </w:rPr>
        <w:t>university</w:t>
      </w:r>
      <w:proofErr w:type="spellEnd"/>
      <w:r w:rsidRPr="000B3229">
        <w:rPr>
          <w:i/>
        </w:rPr>
        <w:t xml:space="preserve"> research</w:t>
      </w:r>
      <w:r w:rsidRPr="00D05CCF">
        <w:t xml:space="preserve"> och </w:t>
      </w:r>
      <w:r w:rsidRPr="000B3229">
        <w:rPr>
          <w:i/>
        </w:rPr>
        <w:t>University spin-offs</w:t>
      </w:r>
      <w:r w:rsidRPr="00D05CCF">
        <w:t xml:space="preserve">. </w:t>
      </w:r>
      <w:r w:rsidR="00BF7F56">
        <w:t>Desto s</w:t>
      </w:r>
      <w:r w:rsidRPr="00BF7F56">
        <w:t xml:space="preserve">ämre </w:t>
      </w:r>
      <w:r w:rsidR="00BF7F56" w:rsidRPr="00BF7F56">
        <w:t>presterar</w:t>
      </w:r>
      <w:r w:rsidRPr="00BF7F56">
        <w:t xml:space="preserve"> vi inom </w:t>
      </w:r>
      <w:r w:rsidRPr="000B3229">
        <w:rPr>
          <w:i/>
        </w:rPr>
        <w:t xml:space="preserve">Research </w:t>
      </w:r>
      <w:proofErr w:type="spellStart"/>
      <w:r w:rsidRPr="000B3229">
        <w:rPr>
          <w:i/>
        </w:rPr>
        <w:t>income</w:t>
      </w:r>
      <w:proofErr w:type="spellEnd"/>
      <w:r w:rsidRPr="000B3229">
        <w:rPr>
          <w:i/>
        </w:rPr>
        <w:t xml:space="preserve"> from </w:t>
      </w:r>
      <w:proofErr w:type="spellStart"/>
      <w:r w:rsidRPr="000B3229">
        <w:rPr>
          <w:i/>
        </w:rPr>
        <w:t>industry</w:t>
      </w:r>
      <w:proofErr w:type="spellEnd"/>
      <w:r w:rsidR="00BF7F56" w:rsidRPr="00BF7F56">
        <w:t xml:space="preserve">. De tekniska universiteten i jämförelsegruppen presterar generellt mycket bra i samtliga av indikatorerna. </w:t>
      </w:r>
      <w:r w:rsidR="00BF7F56" w:rsidRPr="00D05CCF">
        <w:t xml:space="preserve">Delft, Aalto, MIT och Imperial College </w:t>
      </w:r>
      <w:r w:rsidR="00F130BE">
        <w:t>utmärker sig</w:t>
      </w:r>
      <w:r w:rsidR="00BF7F56" w:rsidRPr="00D05CCF">
        <w:t xml:space="preserve"> särdeles väl. </w:t>
      </w:r>
    </w:p>
    <w:p w:rsidR="00BF7F56" w:rsidRPr="00D05CCF" w:rsidRDefault="00BF7F56" w:rsidP="00324325">
      <w:pPr>
        <w:pStyle w:val="Brdtext"/>
      </w:pPr>
    </w:p>
    <w:p w:rsidR="00324325" w:rsidRPr="00D05CCF" w:rsidRDefault="00324325" w:rsidP="000C272F">
      <w:pPr>
        <w:pStyle w:val="Rubrik3"/>
      </w:pPr>
      <w:bookmarkStart w:id="9" w:name="_Toc63236561"/>
      <w:r w:rsidRPr="00D05CCF">
        <w:t>SDG 10</w:t>
      </w:r>
      <w:r w:rsidR="00AF18C7" w:rsidRPr="00D05CCF">
        <w:t xml:space="preserve"> </w:t>
      </w:r>
      <w:proofErr w:type="spellStart"/>
      <w:r w:rsidR="00AF18C7" w:rsidRPr="00D05CCF">
        <w:t>Reduced</w:t>
      </w:r>
      <w:proofErr w:type="spellEnd"/>
      <w:r w:rsidR="00AF18C7" w:rsidRPr="00D05CCF">
        <w:t xml:space="preserve"> </w:t>
      </w:r>
      <w:proofErr w:type="spellStart"/>
      <w:r w:rsidR="00AF18C7" w:rsidRPr="00D05CCF">
        <w:t>Inequalities</w:t>
      </w:r>
      <w:bookmarkEnd w:id="9"/>
      <w:proofErr w:type="spellEnd"/>
    </w:p>
    <w:p w:rsidR="007D0CA0" w:rsidRDefault="000E09DB" w:rsidP="000E09DB">
      <w:pPr>
        <w:pStyle w:val="Brdtext"/>
      </w:pPr>
      <w:r w:rsidRPr="000E09DB">
        <w:t xml:space="preserve">Samtliga jämförelseuniversitet </w:t>
      </w:r>
      <w:r>
        <w:t xml:space="preserve">får </w:t>
      </w:r>
      <w:r w:rsidR="00CE68D1">
        <w:t>ett framträdande</w:t>
      </w:r>
      <w:r>
        <w:t xml:space="preserve"> </w:t>
      </w:r>
      <w:proofErr w:type="spellStart"/>
      <w:r>
        <w:t>bibliometriskt</w:t>
      </w:r>
      <w:proofErr w:type="spellEnd"/>
      <w:r>
        <w:t xml:space="preserve"> utfall sett till </w:t>
      </w:r>
      <w:r w:rsidR="00F130BE" w:rsidRPr="00F130BE">
        <w:t>minskad ojämlikhet</w:t>
      </w:r>
      <w:r>
        <w:t xml:space="preserve">. KTH hävdar sig bättre sett till genomslag än volym. </w:t>
      </w:r>
    </w:p>
    <w:p w:rsidR="000E09DB" w:rsidRDefault="000E09DB" w:rsidP="000E09DB">
      <w:pPr>
        <w:pStyle w:val="Brdtext"/>
      </w:pPr>
      <w:r>
        <w:t>Inget av de tekniska fackuniversitet</w:t>
      </w:r>
      <w:r w:rsidR="00CD4BA9">
        <w:t>en</w:t>
      </w:r>
      <w:r>
        <w:t xml:space="preserve"> hävdar sig särskilt väl i </w:t>
      </w:r>
      <w:r w:rsidR="00F130BE">
        <w:t xml:space="preserve">indikatorn </w:t>
      </w:r>
      <w:proofErr w:type="spellStart"/>
      <w:r w:rsidR="00820529" w:rsidRPr="00820529">
        <w:rPr>
          <w:i/>
        </w:rPr>
        <w:t>First</w:t>
      </w:r>
      <w:proofErr w:type="spellEnd"/>
      <w:r w:rsidR="00820529" w:rsidRPr="00820529">
        <w:rPr>
          <w:i/>
        </w:rPr>
        <w:t>-generation students</w:t>
      </w:r>
      <w:r>
        <w:t xml:space="preserve">. Bland jämförelseuniversiteten presterar </w:t>
      </w:r>
      <w:r w:rsidR="00610246">
        <w:t xml:space="preserve">Trinity College och </w:t>
      </w:r>
      <w:r>
        <w:t>Göteborg bäst.</w:t>
      </w:r>
    </w:p>
    <w:p w:rsidR="000E09DB" w:rsidRPr="000E09DB" w:rsidRDefault="000E09DB" w:rsidP="000E09DB">
      <w:pPr>
        <w:pStyle w:val="Brdtext"/>
      </w:pPr>
      <w:r>
        <w:t xml:space="preserve">KTH, </w:t>
      </w:r>
      <w:r w:rsidR="00610246">
        <w:t xml:space="preserve">Göteborg, Bergen, </w:t>
      </w:r>
      <w:r>
        <w:t xml:space="preserve">Queensland University of Technology och Auckland University of Technology har en låg andel studenter från utvecklingsländer. De övriga jämförelseuniversiteten presterar </w:t>
      </w:r>
      <w:r w:rsidR="005F08B6">
        <w:t xml:space="preserve">desto </w:t>
      </w:r>
      <w:r>
        <w:t xml:space="preserve">bättre. </w:t>
      </w:r>
    </w:p>
    <w:p w:rsidR="00EC05C9" w:rsidRDefault="00D96CF7" w:rsidP="00324325">
      <w:pPr>
        <w:pStyle w:val="Brdtext"/>
      </w:pPr>
      <w:r>
        <w:t>Samtliga universitet, med undantag av UPC</w:t>
      </w:r>
      <w:r w:rsidR="00610246">
        <w:t xml:space="preserve"> och Bergen</w:t>
      </w:r>
      <w:r>
        <w:t xml:space="preserve">, får mycket höga värden inom indikatorn </w:t>
      </w:r>
      <w:proofErr w:type="spellStart"/>
      <w:r w:rsidRPr="003509BE">
        <w:rPr>
          <w:i/>
        </w:rPr>
        <w:t>Percent</w:t>
      </w:r>
      <w:proofErr w:type="spellEnd"/>
      <w:r w:rsidRPr="003509BE">
        <w:rPr>
          <w:i/>
        </w:rPr>
        <w:t xml:space="preserve"> of students </w:t>
      </w:r>
      <w:proofErr w:type="spellStart"/>
      <w:r w:rsidRPr="003509BE">
        <w:rPr>
          <w:i/>
        </w:rPr>
        <w:t>with</w:t>
      </w:r>
      <w:proofErr w:type="spellEnd"/>
      <w:r w:rsidRPr="003509BE">
        <w:rPr>
          <w:i/>
        </w:rPr>
        <w:t xml:space="preserve"> </w:t>
      </w:r>
      <w:proofErr w:type="spellStart"/>
      <w:r w:rsidRPr="003509BE">
        <w:rPr>
          <w:i/>
        </w:rPr>
        <w:t>disabilities</w:t>
      </w:r>
      <w:proofErr w:type="spellEnd"/>
      <w:r>
        <w:t xml:space="preserve">. Mer </w:t>
      </w:r>
      <w:r w:rsidR="008211AA">
        <w:t>diversifierad</w:t>
      </w:r>
      <w:r>
        <w:t xml:space="preserve"> blir bilden om vi beaktar </w:t>
      </w:r>
      <w:proofErr w:type="spellStart"/>
      <w:r w:rsidRPr="003509BE">
        <w:rPr>
          <w:i/>
        </w:rPr>
        <w:lastRenderedPageBreak/>
        <w:t>Percent</w:t>
      </w:r>
      <w:proofErr w:type="spellEnd"/>
      <w:r w:rsidRPr="003509BE">
        <w:rPr>
          <w:i/>
        </w:rPr>
        <w:t xml:space="preserve"> of </w:t>
      </w:r>
      <w:proofErr w:type="spellStart"/>
      <w:r w:rsidRPr="003509BE">
        <w:rPr>
          <w:i/>
        </w:rPr>
        <w:t>staff</w:t>
      </w:r>
      <w:proofErr w:type="spellEnd"/>
      <w:r w:rsidRPr="003509BE">
        <w:rPr>
          <w:i/>
        </w:rPr>
        <w:t xml:space="preserve"> </w:t>
      </w:r>
      <w:proofErr w:type="spellStart"/>
      <w:r w:rsidRPr="003509BE">
        <w:rPr>
          <w:i/>
        </w:rPr>
        <w:t>with</w:t>
      </w:r>
      <w:proofErr w:type="spellEnd"/>
      <w:r w:rsidRPr="003509BE">
        <w:rPr>
          <w:i/>
        </w:rPr>
        <w:t xml:space="preserve"> </w:t>
      </w:r>
      <w:proofErr w:type="spellStart"/>
      <w:r w:rsidRPr="003509BE">
        <w:rPr>
          <w:i/>
        </w:rPr>
        <w:t>disabilities</w:t>
      </w:r>
      <w:proofErr w:type="spellEnd"/>
      <w:r w:rsidR="003509BE">
        <w:t>, där KTH liksom</w:t>
      </w:r>
      <w:r>
        <w:t xml:space="preserve"> Queensland Univers</w:t>
      </w:r>
      <w:r w:rsidR="00481D03">
        <w:t>ity of Technology inte lämnat</w:t>
      </w:r>
      <w:r>
        <w:t xml:space="preserve"> några uppgifter</w:t>
      </w:r>
      <w:r w:rsidR="00820529">
        <w:t xml:space="preserve"> (KTH får enligt lag inte föra egna register om detta)</w:t>
      </w:r>
      <w:r>
        <w:t xml:space="preserve">, medan MIT och </w:t>
      </w:r>
      <w:proofErr w:type="spellStart"/>
      <w:r>
        <w:t>Strathclyde</w:t>
      </w:r>
      <w:proofErr w:type="spellEnd"/>
      <w:r>
        <w:t xml:space="preserve"> presterar bra. </w:t>
      </w:r>
    </w:p>
    <w:p w:rsidR="00F130BE" w:rsidRDefault="00D96CF7" w:rsidP="00B52A23">
      <w:pPr>
        <w:pStyle w:val="Brdtext"/>
      </w:pPr>
      <w:r>
        <w:t xml:space="preserve">Sett till </w:t>
      </w:r>
      <w:r w:rsidR="00344B4D">
        <w:t xml:space="preserve">indikatorn </w:t>
      </w:r>
      <w:proofErr w:type="spellStart"/>
      <w:r w:rsidRPr="003509BE">
        <w:rPr>
          <w:i/>
        </w:rPr>
        <w:t>Measures</w:t>
      </w:r>
      <w:proofErr w:type="spellEnd"/>
      <w:r w:rsidRPr="003509BE">
        <w:rPr>
          <w:i/>
        </w:rPr>
        <w:t xml:space="preserve"> </w:t>
      </w:r>
      <w:proofErr w:type="spellStart"/>
      <w:r w:rsidRPr="003509BE">
        <w:rPr>
          <w:i/>
        </w:rPr>
        <w:t>against</w:t>
      </w:r>
      <w:proofErr w:type="spellEnd"/>
      <w:r w:rsidRPr="003509BE">
        <w:rPr>
          <w:i/>
        </w:rPr>
        <w:t xml:space="preserve"> </w:t>
      </w:r>
      <w:proofErr w:type="spellStart"/>
      <w:r w:rsidRPr="003509BE">
        <w:rPr>
          <w:i/>
        </w:rPr>
        <w:t>discrimination</w:t>
      </w:r>
      <w:proofErr w:type="spellEnd"/>
      <w:r>
        <w:t xml:space="preserve"> preste</w:t>
      </w:r>
      <w:r w:rsidR="00B52A23">
        <w:t>r</w:t>
      </w:r>
      <w:r>
        <w:t xml:space="preserve">ar de </w:t>
      </w:r>
      <w:r w:rsidR="00F130BE">
        <w:t xml:space="preserve">nordiska </w:t>
      </w:r>
      <w:r>
        <w:t xml:space="preserve">universiteten förvånansvärt svagt, här </w:t>
      </w:r>
      <w:r w:rsidR="007F37B7">
        <w:t xml:space="preserve">hävdar sig </w:t>
      </w:r>
      <w:r>
        <w:t xml:space="preserve">amerikanska och universitet med brittisk rättstradition desto bättre. </w:t>
      </w:r>
      <w:r w:rsidR="008211AA">
        <w:t>Förmodligen har samväldesuniversiteten hänvisat till policys</w:t>
      </w:r>
      <w:r w:rsidR="00F130BE">
        <w:t>/ riktlinjer</w:t>
      </w:r>
      <w:r w:rsidR="008211AA">
        <w:t xml:space="preserve"> medan de </w:t>
      </w:r>
      <w:r w:rsidR="00B87613">
        <w:t>nordiska</w:t>
      </w:r>
      <w:r w:rsidR="008211AA">
        <w:t xml:space="preserve"> till lagstiftning. </w:t>
      </w:r>
    </w:p>
    <w:p w:rsidR="00D96CF7" w:rsidRPr="009F1986" w:rsidRDefault="00F130BE" w:rsidP="00B52A23">
      <w:pPr>
        <w:pStyle w:val="Brdtext"/>
      </w:pPr>
      <w:r>
        <w:t>Riktar</w:t>
      </w:r>
      <w:r w:rsidR="00B52A23" w:rsidRPr="00B52A23">
        <w:t xml:space="preserve"> vi fokus till underindikatorerna </w:t>
      </w:r>
      <w:r w:rsidR="00B52A23" w:rsidRPr="003509BE">
        <w:rPr>
          <w:i/>
        </w:rPr>
        <w:t xml:space="preserve">Access to </w:t>
      </w:r>
      <w:proofErr w:type="spellStart"/>
      <w:r w:rsidR="00B52A23" w:rsidRPr="003509BE">
        <w:rPr>
          <w:i/>
        </w:rPr>
        <w:t>university</w:t>
      </w:r>
      <w:proofErr w:type="spellEnd"/>
      <w:r w:rsidR="00B52A23" w:rsidRPr="003509BE">
        <w:rPr>
          <w:i/>
        </w:rPr>
        <w:t xml:space="preserve"> track </w:t>
      </w:r>
      <w:proofErr w:type="spellStart"/>
      <w:r w:rsidR="00B52A23" w:rsidRPr="003509BE">
        <w:rPr>
          <w:i/>
        </w:rPr>
        <w:t>underrepresented</w:t>
      </w:r>
      <w:proofErr w:type="spellEnd"/>
      <w:r w:rsidR="00B52A23" w:rsidRPr="003509BE">
        <w:rPr>
          <w:i/>
        </w:rPr>
        <w:t xml:space="preserve"> </w:t>
      </w:r>
      <w:proofErr w:type="spellStart"/>
      <w:r w:rsidR="00B52A23" w:rsidRPr="003509BE">
        <w:rPr>
          <w:i/>
        </w:rPr>
        <w:t>groups</w:t>
      </w:r>
      <w:proofErr w:type="spellEnd"/>
      <w:r w:rsidR="00B52A23" w:rsidRPr="003509BE">
        <w:rPr>
          <w:i/>
        </w:rPr>
        <w:t xml:space="preserve"> </w:t>
      </w:r>
      <w:proofErr w:type="spellStart"/>
      <w:r w:rsidR="00B52A23" w:rsidRPr="003509BE">
        <w:rPr>
          <w:i/>
        </w:rPr>
        <w:t>applications</w:t>
      </w:r>
      <w:proofErr w:type="spellEnd"/>
      <w:r w:rsidR="00B52A23" w:rsidRPr="00B52A23">
        <w:t xml:space="preserve">, </w:t>
      </w:r>
      <w:r w:rsidR="00B52A23" w:rsidRPr="003509BE">
        <w:rPr>
          <w:i/>
        </w:rPr>
        <w:t xml:space="preserve">Access to </w:t>
      </w:r>
      <w:proofErr w:type="spellStart"/>
      <w:r w:rsidR="00B52A23" w:rsidRPr="003509BE">
        <w:rPr>
          <w:i/>
        </w:rPr>
        <w:t>university</w:t>
      </w:r>
      <w:proofErr w:type="spellEnd"/>
      <w:r w:rsidR="00B52A23" w:rsidRPr="003509BE">
        <w:rPr>
          <w:i/>
        </w:rPr>
        <w:t xml:space="preserve"> </w:t>
      </w:r>
      <w:proofErr w:type="spellStart"/>
      <w:r w:rsidR="00B52A23" w:rsidRPr="003509BE">
        <w:rPr>
          <w:i/>
        </w:rPr>
        <w:t>underrepresented</w:t>
      </w:r>
      <w:proofErr w:type="spellEnd"/>
      <w:r w:rsidR="00B52A23" w:rsidRPr="003509BE">
        <w:rPr>
          <w:i/>
        </w:rPr>
        <w:t xml:space="preserve"> </w:t>
      </w:r>
      <w:proofErr w:type="spellStart"/>
      <w:r w:rsidR="00B52A23" w:rsidRPr="003509BE">
        <w:rPr>
          <w:i/>
        </w:rPr>
        <w:t>groups</w:t>
      </w:r>
      <w:proofErr w:type="spellEnd"/>
      <w:r w:rsidR="00B52A23" w:rsidRPr="003509BE">
        <w:rPr>
          <w:i/>
        </w:rPr>
        <w:t xml:space="preserve"> </w:t>
      </w:r>
      <w:proofErr w:type="spellStart"/>
      <w:r w:rsidR="00B52A23" w:rsidRPr="003509BE">
        <w:rPr>
          <w:i/>
        </w:rPr>
        <w:t>recruit</w:t>
      </w:r>
      <w:proofErr w:type="spellEnd"/>
      <w:r w:rsidR="00B52A23" w:rsidRPr="00B52A23">
        <w:t xml:space="preserve">, </w:t>
      </w:r>
      <w:r w:rsidR="00B52A23" w:rsidRPr="003509BE">
        <w:rPr>
          <w:i/>
        </w:rPr>
        <w:t xml:space="preserve">Support for </w:t>
      </w:r>
      <w:proofErr w:type="spellStart"/>
      <w:r w:rsidR="00B52A23" w:rsidRPr="003509BE">
        <w:rPr>
          <w:i/>
        </w:rPr>
        <w:t>underrepresented</w:t>
      </w:r>
      <w:proofErr w:type="spellEnd"/>
      <w:r w:rsidR="00B52A23" w:rsidRPr="003509BE">
        <w:rPr>
          <w:i/>
        </w:rPr>
        <w:t xml:space="preserve"> </w:t>
      </w:r>
      <w:proofErr w:type="spellStart"/>
      <w:r w:rsidR="00B52A23" w:rsidRPr="003509BE">
        <w:rPr>
          <w:i/>
        </w:rPr>
        <w:t>groups</w:t>
      </w:r>
      <w:proofErr w:type="spellEnd"/>
      <w:r w:rsidR="00B52A23" w:rsidRPr="00B52A23">
        <w:t xml:space="preserve">, </w:t>
      </w:r>
      <w:proofErr w:type="spellStart"/>
      <w:r w:rsidR="00B52A23" w:rsidRPr="003509BE">
        <w:rPr>
          <w:i/>
        </w:rPr>
        <w:t>Disability</w:t>
      </w:r>
      <w:proofErr w:type="spellEnd"/>
      <w:r w:rsidR="00B52A23" w:rsidRPr="003509BE">
        <w:rPr>
          <w:i/>
        </w:rPr>
        <w:t xml:space="preserve"> support services</w:t>
      </w:r>
      <w:r w:rsidR="00B52A23" w:rsidRPr="00B52A23">
        <w:t xml:space="preserve">, </w:t>
      </w:r>
      <w:proofErr w:type="spellStart"/>
      <w:r w:rsidR="00B52A23" w:rsidRPr="003509BE">
        <w:rPr>
          <w:i/>
        </w:rPr>
        <w:t>Disability</w:t>
      </w:r>
      <w:proofErr w:type="spellEnd"/>
      <w:r w:rsidR="00B52A23" w:rsidRPr="003509BE">
        <w:rPr>
          <w:i/>
        </w:rPr>
        <w:t xml:space="preserve"> access </w:t>
      </w:r>
      <w:proofErr w:type="spellStart"/>
      <w:r w:rsidR="00B52A23" w:rsidRPr="003509BE">
        <w:rPr>
          <w:i/>
        </w:rPr>
        <w:t>scheme</w:t>
      </w:r>
      <w:proofErr w:type="spellEnd"/>
      <w:r w:rsidR="00B52A23" w:rsidRPr="00B52A23">
        <w:t xml:space="preserve"> och </w:t>
      </w:r>
      <w:proofErr w:type="spellStart"/>
      <w:r w:rsidR="00B52A23" w:rsidRPr="003509BE">
        <w:rPr>
          <w:i/>
        </w:rPr>
        <w:t>Disability</w:t>
      </w:r>
      <w:proofErr w:type="spellEnd"/>
      <w:r w:rsidR="00B52A23" w:rsidRPr="003509BE">
        <w:rPr>
          <w:i/>
        </w:rPr>
        <w:t xml:space="preserve"> </w:t>
      </w:r>
      <w:proofErr w:type="spellStart"/>
      <w:r w:rsidR="00B52A23" w:rsidRPr="003509BE">
        <w:rPr>
          <w:i/>
        </w:rPr>
        <w:t>accomodation</w:t>
      </w:r>
      <w:proofErr w:type="spellEnd"/>
      <w:r w:rsidR="00B52A23" w:rsidRPr="003509BE">
        <w:rPr>
          <w:i/>
        </w:rPr>
        <w:t xml:space="preserve"> policy</w:t>
      </w:r>
      <w:r w:rsidR="00B52A23" w:rsidRPr="00B52A23">
        <w:t xml:space="preserve"> presterar KTH </w:t>
      </w:r>
      <w:r w:rsidR="008211AA">
        <w:t>liksom</w:t>
      </w:r>
      <w:r w:rsidR="00D95FD9">
        <w:t xml:space="preserve"> övriga nordiska universitet relativt svagt</w:t>
      </w:r>
      <w:r w:rsidR="00B52A23" w:rsidRPr="00B52A23">
        <w:t xml:space="preserve"> samtidigt som de flesta amerikanska </w:t>
      </w:r>
      <w:r>
        <w:t xml:space="preserve">universitet </w:t>
      </w:r>
      <w:r w:rsidR="00B52A23" w:rsidRPr="00B52A23">
        <w:t xml:space="preserve">och universitet från </w:t>
      </w:r>
      <w:r w:rsidR="00BD2CC7">
        <w:t xml:space="preserve">det brittiska </w:t>
      </w:r>
      <w:r w:rsidR="00B52A23" w:rsidRPr="00B52A23">
        <w:t xml:space="preserve">samväldet fick höga poäng. </w:t>
      </w:r>
      <w:r w:rsidR="00A5402E">
        <w:t xml:space="preserve">En annan komponent kan vara att svensk lagstiftning syftar till att ge samma rättigheter för samtliga snarare än att ge positiv särbehandling för skilda grupper. </w:t>
      </w:r>
      <w:r w:rsidR="009F1986" w:rsidRPr="009F1986">
        <w:t xml:space="preserve">Här bör det också understrykas att länder som Australien, </w:t>
      </w:r>
      <w:r w:rsidR="00F7445D">
        <w:t>Nya Zeeland, Canada och USA har</w:t>
      </w:r>
      <w:r w:rsidR="00303641">
        <w:t xml:space="preserve"> en tradition av att ge positiv</w:t>
      </w:r>
      <w:r w:rsidR="009F1986" w:rsidRPr="009F1986">
        <w:t xml:space="preserve"> särbehandling till ur</w:t>
      </w:r>
      <w:r w:rsidR="00303641">
        <w:t xml:space="preserve">sprungsbefolkning och särskilda </w:t>
      </w:r>
      <w:r w:rsidR="009F1986" w:rsidRPr="009F1986">
        <w:t xml:space="preserve">grupper. </w:t>
      </w:r>
    </w:p>
    <w:p w:rsidR="00EC05C9" w:rsidRPr="009F1986" w:rsidRDefault="00EC05C9" w:rsidP="00324325">
      <w:pPr>
        <w:pStyle w:val="Brdtext"/>
      </w:pPr>
    </w:p>
    <w:p w:rsidR="00324325" w:rsidRPr="00D05CCF" w:rsidRDefault="00324325" w:rsidP="000C272F">
      <w:pPr>
        <w:pStyle w:val="Rubrik3"/>
        <w:rPr>
          <w:lang w:val="en-US"/>
        </w:rPr>
      </w:pPr>
      <w:bookmarkStart w:id="10" w:name="_Toc63236562"/>
      <w:r w:rsidRPr="00D05CCF">
        <w:rPr>
          <w:lang w:val="en-US"/>
        </w:rPr>
        <w:t>SDG 11</w:t>
      </w:r>
      <w:r w:rsidR="00AF18C7" w:rsidRPr="00D05CCF">
        <w:rPr>
          <w:lang w:val="en-US"/>
        </w:rPr>
        <w:t xml:space="preserve"> Sustainable Cities and Communities</w:t>
      </w:r>
      <w:bookmarkEnd w:id="10"/>
    </w:p>
    <w:p w:rsidR="003E05A1" w:rsidRDefault="0076503E" w:rsidP="00324325">
      <w:pPr>
        <w:pStyle w:val="Brdtext"/>
      </w:pPr>
      <w:r w:rsidRPr="00D05CCF">
        <w:rPr>
          <w:lang w:val="en-US"/>
        </w:rPr>
        <w:t xml:space="preserve">Sett till bibliometriska </w:t>
      </w:r>
      <w:proofErr w:type="spellStart"/>
      <w:r w:rsidRPr="00D05CCF">
        <w:rPr>
          <w:lang w:val="en-US"/>
        </w:rPr>
        <w:t>indikatorer</w:t>
      </w:r>
      <w:proofErr w:type="spellEnd"/>
      <w:r w:rsidRPr="00D05CCF">
        <w:rPr>
          <w:lang w:val="en-US"/>
        </w:rPr>
        <w:t xml:space="preserve"> </w:t>
      </w:r>
      <w:proofErr w:type="spellStart"/>
      <w:r w:rsidRPr="00D05CCF">
        <w:rPr>
          <w:lang w:val="en-US"/>
        </w:rPr>
        <w:t>hävdar</w:t>
      </w:r>
      <w:proofErr w:type="spellEnd"/>
      <w:r w:rsidRPr="00D05CCF">
        <w:rPr>
          <w:lang w:val="en-US"/>
        </w:rPr>
        <w:t xml:space="preserve"> sig KTH </w:t>
      </w:r>
      <w:proofErr w:type="spellStart"/>
      <w:r w:rsidRPr="00D05CCF">
        <w:rPr>
          <w:lang w:val="en-US"/>
        </w:rPr>
        <w:t>väl</w:t>
      </w:r>
      <w:proofErr w:type="spellEnd"/>
      <w:r w:rsidRPr="00D05CCF">
        <w:rPr>
          <w:lang w:val="en-US"/>
        </w:rPr>
        <w:t xml:space="preserve"> mot </w:t>
      </w:r>
      <w:proofErr w:type="spellStart"/>
      <w:r w:rsidRPr="00D05CCF">
        <w:rPr>
          <w:lang w:val="en-US"/>
        </w:rPr>
        <w:t>universitet</w:t>
      </w:r>
      <w:proofErr w:type="spellEnd"/>
      <w:r w:rsidRPr="00D05CCF">
        <w:rPr>
          <w:lang w:val="en-US"/>
        </w:rPr>
        <w:t xml:space="preserve"> </w:t>
      </w:r>
      <w:proofErr w:type="spellStart"/>
      <w:r w:rsidRPr="00D05CCF">
        <w:rPr>
          <w:lang w:val="en-US"/>
        </w:rPr>
        <w:t>som</w:t>
      </w:r>
      <w:proofErr w:type="spellEnd"/>
      <w:r w:rsidRPr="00D05CCF">
        <w:rPr>
          <w:lang w:val="en-US"/>
        </w:rPr>
        <w:t xml:space="preserve"> MIT, </w:t>
      </w:r>
      <w:r w:rsidR="00DB14A8" w:rsidRPr="00D05CCF">
        <w:rPr>
          <w:lang w:val="en-US"/>
        </w:rPr>
        <w:t>École</w:t>
      </w:r>
      <w:r w:rsidRPr="00D05CCF">
        <w:rPr>
          <w:lang w:val="en-US"/>
        </w:rPr>
        <w:t xml:space="preserve"> Polytechnique, Trinity College, Queensland University of Technology </w:t>
      </w:r>
      <w:proofErr w:type="spellStart"/>
      <w:r w:rsidRPr="00D05CCF">
        <w:rPr>
          <w:lang w:val="en-US"/>
        </w:rPr>
        <w:t>och</w:t>
      </w:r>
      <w:proofErr w:type="spellEnd"/>
      <w:r w:rsidRPr="00D05CCF">
        <w:rPr>
          <w:lang w:val="en-US"/>
        </w:rPr>
        <w:t xml:space="preserve"> Auckland University of Technology. </w:t>
      </w:r>
      <w:r>
        <w:t xml:space="preserve">KTH </w:t>
      </w:r>
      <w:r w:rsidR="00BA39EE">
        <w:t>presterar</w:t>
      </w:r>
      <w:r w:rsidR="007F37B7">
        <w:t xml:space="preserve"> bättre sett till volym än </w:t>
      </w:r>
      <w:r>
        <w:t xml:space="preserve">genomslag. </w:t>
      </w:r>
    </w:p>
    <w:p w:rsidR="00A66269" w:rsidRDefault="00807573" w:rsidP="00B34B29">
      <w:pPr>
        <w:pStyle w:val="Brdtext"/>
      </w:pPr>
      <w:r w:rsidRPr="00807573">
        <w:t xml:space="preserve">Inom indikatorn </w:t>
      </w:r>
      <w:r w:rsidRPr="003509BE">
        <w:rPr>
          <w:i/>
        </w:rPr>
        <w:t xml:space="preserve">Support of arts and </w:t>
      </w:r>
      <w:proofErr w:type="spellStart"/>
      <w:r w:rsidRPr="003509BE">
        <w:rPr>
          <w:i/>
        </w:rPr>
        <w:t>heritage</w:t>
      </w:r>
      <w:proofErr w:type="spellEnd"/>
      <w:r w:rsidR="003509BE">
        <w:t xml:space="preserve"> positioneras</w:t>
      </w:r>
      <w:r w:rsidRPr="00807573">
        <w:t xml:space="preserve"> KTH i mellanskiktet i jämförelse med jämförelseuniversiteten. </w:t>
      </w:r>
      <w:r w:rsidR="00B34B29" w:rsidRPr="00BD144B">
        <w:t>KTH tappar på att vi</w:t>
      </w:r>
      <w:r w:rsidR="00BD144B" w:rsidRPr="00BD144B">
        <w:t>, förvånansvärt nog,</w:t>
      </w:r>
      <w:r w:rsidR="00B34B29" w:rsidRPr="00BD144B">
        <w:t xml:space="preserve"> presterar mindre bra inom </w:t>
      </w:r>
      <w:r w:rsidR="00BD144B">
        <w:t xml:space="preserve">underindikatorerna </w:t>
      </w:r>
      <w:r w:rsidR="00B34B29" w:rsidRPr="00C419B7">
        <w:rPr>
          <w:i/>
        </w:rPr>
        <w:t xml:space="preserve">Public access to </w:t>
      </w:r>
      <w:proofErr w:type="spellStart"/>
      <w:r w:rsidR="00B34B29" w:rsidRPr="00C419B7">
        <w:rPr>
          <w:i/>
        </w:rPr>
        <w:t>libraries</w:t>
      </w:r>
      <w:proofErr w:type="spellEnd"/>
      <w:r w:rsidR="00B34B29" w:rsidRPr="00BD144B">
        <w:t xml:space="preserve"> och </w:t>
      </w:r>
      <w:r w:rsidR="00B34B29" w:rsidRPr="00C419B7">
        <w:rPr>
          <w:i/>
        </w:rPr>
        <w:t xml:space="preserve">Public access to </w:t>
      </w:r>
      <w:proofErr w:type="spellStart"/>
      <w:r w:rsidR="00B34B29" w:rsidRPr="00C419B7">
        <w:rPr>
          <w:i/>
        </w:rPr>
        <w:t>buildings</w:t>
      </w:r>
      <w:proofErr w:type="spellEnd"/>
      <w:r w:rsidR="00BA39EE">
        <w:t xml:space="preserve"> (detta kan möjligen bero på att </w:t>
      </w:r>
      <w:r w:rsidR="00F130BE">
        <w:t>webb</w:t>
      </w:r>
      <w:r w:rsidR="00BA39EE">
        <w:t>länkarna inte fungerade när THE granskade underlaget)</w:t>
      </w:r>
      <w:r w:rsidR="00B34B29" w:rsidRPr="00BD144B">
        <w:t>.</w:t>
      </w:r>
    </w:p>
    <w:p w:rsidR="00BD144B" w:rsidRDefault="00BD144B" w:rsidP="00BD144B">
      <w:pPr>
        <w:pStyle w:val="Brdtext"/>
      </w:pPr>
      <w:r>
        <w:t xml:space="preserve">KTH lägger </w:t>
      </w:r>
      <w:r w:rsidR="00BA39EE">
        <w:t xml:space="preserve">en lägre </w:t>
      </w:r>
      <w:r>
        <w:t xml:space="preserve">andel pengar än de övriga, med undantag av Aalto, på </w:t>
      </w:r>
      <w:r w:rsidRPr="00C419B7">
        <w:rPr>
          <w:i/>
        </w:rPr>
        <w:t xml:space="preserve">Arts and </w:t>
      </w:r>
      <w:proofErr w:type="spellStart"/>
      <w:r w:rsidRPr="00C419B7">
        <w:rPr>
          <w:i/>
        </w:rPr>
        <w:t>heritage</w:t>
      </w:r>
      <w:proofErr w:type="spellEnd"/>
      <w:r w:rsidRPr="00C419B7">
        <w:rPr>
          <w:i/>
        </w:rPr>
        <w:t xml:space="preserve"> </w:t>
      </w:r>
      <w:proofErr w:type="spellStart"/>
      <w:r w:rsidRPr="00C419B7">
        <w:rPr>
          <w:i/>
        </w:rPr>
        <w:t>expenditure</w:t>
      </w:r>
      <w:proofErr w:type="spellEnd"/>
      <w:r>
        <w:t>.</w:t>
      </w:r>
    </w:p>
    <w:p w:rsidR="005C010A" w:rsidRPr="00BD144B" w:rsidRDefault="005C010A" w:rsidP="005C010A">
      <w:pPr>
        <w:pStyle w:val="Brdtext"/>
      </w:pPr>
      <w:r>
        <w:t xml:space="preserve">KTH står sig mycket väl inom </w:t>
      </w:r>
      <w:proofErr w:type="spellStart"/>
      <w:r w:rsidRPr="00C419B7">
        <w:rPr>
          <w:i/>
        </w:rPr>
        <w:t>Sustainable</w:t>
      </w:r>
      <w:proofErr w:type="spellEnd"/>
      <w:r w:rsidRPr="00C419B7">
        <w:rPr>
          <w:i/>
        </w:rPr>
        <w:t xml:space="preserve"> </w:t>
      </w:r>
      <w:proofErr w:type="spellStart"/>
      <w:r w:rsidRPr="00C419B7">
        <w:rPr>
          <w:i/>
        </w:rPr>
        <w:t>practices</w:t>
      </w:r>
      <w:proofErr w:type="spellEnd"/>
      <w:r w:rsidR="00DB14A8">
        <w:t xml:space="preserve"> och presterar bättre än École Polytechnique,</w:t>
      </w:r>
      <w:r w:rsidR="008211AA">
        <w:t xml:space="preserve"> Bergen, Aalto, Queensland</w:t>
      </w:r>
      <w:r w:rsidR="0026047D">
        <w:t xml:space="preserve"> University of Technology</w:t>
      </w:r>
      <w:r w:rsidR="008211AA">
        <w:t>, UPC och</w:t>
      </w:r>
      <w:r w:rsidR="00DB14A8">
        <w:t xml:space="preserve"> Auckland</w:t>
      </w:r>
      <w:r w:rsidR="008211AA">
        <w:t xml:space="preserve"> </w:t>
      </w:r>
      <w:r w:rsidR="008211AA" w:rsidRPr="008211AA">
        <w:t>University of Technology</w:t>
      </w:r>
      <w:r w:rsidR="00DB14A8">
        <w:t xml:space="preserve">. KTH får maxpoäng på samtliga </w:t>
      </w:r>
      <w:r w:rsidR="008211AA">
        <w:t>under</w:t>
      </w:r>
      <w:r w:rsidR="00DB14A8">
        <w:t>ind</w:t>
      </w:r>
      <w:r w:rsidR="004F2591">
        <w:t>i</w:t>
      </w:r>
      <w:r w:rsidR="00DB14A8">
        <w:t xml:space="preserve">katorer med undantag av </w:t>
      </w:r>
      <w:proofErr w:type="spellStart"/>
      <w:r w:rsidR="00DB14A8" w:rsidRPr="00C419B7">
        <w:rPr>
          <w:i/>
        </w:rPr>
        <w:t>Pedestrian</w:t>
      </w:r>
      <w:proofErr w:type="spellEnd"/>
      <w:r w:rsidR="00DB14A8" w:rsidRPr="00C419B7">
        <w:rPr>
          <w:i/>
        </w:rPr>
        <w:t xml:space="preserve"> </w:t>
      </w:r>
      <w:proofErr w:type="spellStart"/>
      <w:r w:rsidR="00DB14A8" w:rsidRPr="00C419B7">
        <w:rPr>
          <w:i/>
        </w:rPr>
        <w:t>priority</w:t>
      </w:r>
      <w:proofErr w:type="spellEnd"/>
      <w:r w:rsidR="00DB14A8" w:rsidRPr="00C419B7">
        <w:rPr>
          <w:i/>
        </w:rPr>
        <w:t xml:space="preserve"> on campus</w:t>
      </w:r>
      <w:r w:rsidR="00DB14A8">
        <w:t xml:space="preserve"> och </w:t>
      </w:r>
      <w:proofErr w:type="spellStart"/>
      <w:r w:rsidR="004F2591" w:rsidRPr="00C419B7">
        <w:rPr>
          <w:i/>
        </w:rPr>
        <w:t>Local</w:t>
      </w:r>
      <w:proofErr w:type="spellEnd"/>
      <w:r w:rsidR="004F2591" w:rsidRPr="00C419B7">
        <w:rPr>
          <w:i/>
        </w:rPr>
        <w:t xml:space="preserve"> </w:t>
      </w:r>
      <w:proofErr w:type="spellStart"/>
      <w:r w:rsidR="004F2591" w:rsidRPr="00C419B7">
        <w:rPr>
          <w:i/>
        </w:rPr>
        <w:t>authority</w:t>
      </w:r>
      <w:proofErr w:type="spellEnd"/>
      <w:r w:rsidR="004F2591" w:rsidRPr="00C419B7">
        <w:rPr>
          <w:i/>
        </w:rPr>
        <w:t xml:space="preserve"> </w:t>
      </w:r>
      <w:proofErr w:type="spellStart"/>
      <w:r w:rsidR="004F2591" w:rsidRPr="00C419B7">
        <w:rPr>
          <w:i/>
        </w:rPr>
        <w:t>collaboration</w:t>
      </w:r>
      <w:proofErr w:type="spellEnd"/>
      <w:r w:rsidR="004F2591" w:rsidRPr="00C419B7">
        <w:rPr>
          <w:i/>
        </w:rPr>
        <w:t xml:space="preserve"> </w:t>
      </w:r>
      <w:proofErr w:type="spellStart"/>
      <w:r w:rsidR="004F2591" w:rsidRPr="00C419B7">
        <w:rPr>
          <w:i/>
        </w:rPr>
        <w:t>regarding</w:t>
      </w:r>
      <w:proofErr w:type="spellEnd"/>
      <w:r w:rsidR="00DB14A8" w:rsidRPr="00C419B7">
        <w:rPr>
          <w:i/>
        </w:rPr>
        <w:t xml:space="preserve"> planning </w:t>
      </w:r>
      <w:proofErr w:type="spellStart"/>
      <w:r w:rsidR="00DB14A8" w:rsidRPr="00C419B7">
        <w:rPr>
          <w:i/>
        </w:rPr>
        <w:t>redevelopment</w:t>
      </w:r>
      <w:proofErr w:type="spellEnd"/>
      <w:r w:rsidR="00DB14A8">
        <w:t xml:space="preserve">. De amerikanska och universitet från </w:t>
      </w:r>
      <w:r w:rsidR="00C419B7">
        <w:t xml:space="preserve">det brittiska </w:t>
      </w:r>
      <w:r w:rsidR="00DB14A8">
        <w:t>sam</w:t>
      </w:r>
      <w:r w:rsidR="00BA39EE">
        <w:t>väldet</w:t>
      </w:r>
      <w:r w:rsidR="00DB14A8">
        <w:t xml:space="preserve"> presterar bättre än resterande universitet. </w:t>
      </w:r>
    </w:p>
    <w:p w:rsidR="00156524" w:rsidRPr="00BD144B" w:rsidRDefault="00156524" w:rsidP="00324325">
      <w:pPr>
        <w:pStyle w:val="Brdtext"/>
      </w:pPr>
    </w:p>
    <w:p w:rsidR="00324325" w:rsidRPr="00D05CCF" w:rsidRDefault="00324325" w:rsidP="000C272F">
      <w:pPr>
        <w:pStyle w:val="Rubrik3"/>
      </w:pPr>
      <w:bookmarkStart w:id="11" w:name="_Toc63236563"/>
      <w:r w:rsidRPr="000E09DB">
        <w:t>SDG 12</w:t>
      </w:r>
      <w:r w:rsidR="00AF18C7" w:rsidRPr="000E09DB">
        <w:t xml:space="preserve"> </w:t>
      </w:r>
      <w:proofErr w:type="spellStart"/>
      <w:r w:rsidR="00AF18C7" w:rsidRPr="000E09DB">
        <w:t>Responsible</w:t>
      </w:r>
      <w:proofErr w:type="spellEnd"/>
      <w:r w:rsidR="00AF18C7" w:rsidRPr="000E09DB">
        <w:t xml:space="preserve"> </w:t>
      </w:r>
      <w:proofErr w:type="spellStart"/>
      <w:r w:rsidR="00AF18C7" w:rsidRPr="000E09DB">
        <w:t>Consumpti</w:t>
      </w:r>
      <w:r w:rsidR="00AF18C7" w:rsidRPr="00D05CCF">
        <w:t>on</w:t>
      </w:r>
      <w:proofErr w:type="spellEnd"/>
      <w:r w:rsidR="00AF18C7" w:rsidRPr="00D05CCF">
        <w:t xml:space="preserve"> and </w:t>
      </w:r>
      <w:proofErr w:type="spellStart"/>
      <w:r w:rsidR="00AF18C7" w:rsidRPr="00D05CCF">
        <w:t>Production</w:t>
      </w:r>
      <w:bookmarkEnd w:id="11"/>
      <w:proofErr w:type="spellEnd"/>
    </w:p>
    <w:p w:rsidR="0085185B" w:rsidRDefault="00590297" w:rsidP="00324325">
      <w:pPr>
        <w:pStyle w:val="Brdtext"/>
      </w:pPr>
      <w:r w:rsidRPr="002D20F3">
        <w:t xml:space="preserve">KTH hävdar sig </w:t>
      </w:r>
      <w:proofErr w:type="spellStart"/>
      <w:r w:rsidR="002D20F3" w:rsidRPr="002D20F3">
        <w:t>bibliometriskt</w:t>
      </w:r>
      <w:proofErr w:type="spellEnd"/>
      <w:r w:rsidR="002D20F3" w:rsidRPr="002D20F3">
        <w:t xml:space="preserve"> mycket väl sett till forskning inom </w:t>
      </w:r>
      <w:r w:rsidR="002D20F3" w:rsidRPr="00C419B7">
        <w:rPr>
          <w:i/>
        </w:rPr>
        <w:t xml:space="preserve">Research on </w:t>
      </w:r>
      <w:proofErr w:type="spellStart"/>
      <w:r w:rsidR="002D20F3" w:rsidRPr="00C419B7">
        <w:rPr>
          <w:i/>
        </w:rPr>
        <w:t>responsible</w:t>
      </w:r>
      <w:proofErr w:type="spellEnd"/>
      <w:r w:rsidR="002D20F3" w:rsidRPr="00C419B7">
        <w:rPr>
          <w:i/>
        </w:rPr>
        <w:t xml:space="preserve"> </w:t>
      </w:r>
      <w:proofErr w:type="spellStart"/>
      <w:r w:rsidR="002D20F3" w:rsidRPr="00C419B7">
        <w:rPr>
          <w:i/>
        </w:rPr>
        <w:t>consumption</w:t>
      </w:r>
      <w:proofErr w:type="spellEnd"/>
      <w:r w:rsidR="002D20F3" w:rsidRPr="00C419B7">
        <w:rPr>
          <w:i/>
        </w:rPr>
        <w:t xml:space="preserve"> and </w:t>
      </w:r>
      <w:proofErr w:type="spellStart"/>
      <w:r w:rsidR="002D20F3" w:rsidRPr="00C419B7">
        <w:rPr>
          <w:i/>
        </w:rPr>
        <w:t>production</w:t>
      </w:r>
      <w:proofErr w:type="spellEnd"/>
      <w:r w:rsidR="002D20F3">
        <w:t xml:space="preserve"> och presterar bäst av samtliga jämförelseuniversitet. KTH hävdar sig särskilt</w:t>
      </w:r>
      <w:r w:rsidR="00F130BE">
        <w:t xml:space="preserve"> bra</w:t>
      </w:r>
      <w:r w:rsidR="002D20F3">
        <w:t xml:space="preserve"> sett till fältnormerad citeringsgrad.</w:t>
      </w:r>
    </w:p>
    <w:p w:rsidR="002D20F3" w:rsidRDefault="002D20F3" w:rsidP="00324325">
      <w:pPr>
        <w:pStyle w:val="Brdtext"/>
      </w:pPr>
      <w:r>
        <w:t xml:space="preserve">KTH återfinns bland de främsta inom indikatorn </w:t>
      </w:r>
      <w:proofErr w:type="spellStart"/>
      <w:r w:rsidRPr="00C419B7">
        <w:rPr>
          <w:i/>
        </w:rPr>
        <w:t>Operational</w:t>
      </w:r>
      <w:proofErr w:type="spellEnd"/>
      <w:r w:rsidRPr="00C419B7">
        <w:rPr>
          <w:i/>
        </w:rPr>
        <w:t xml:space="preserve"> </w:t>
      </w:r>
      <w:proofErr w:type="spellStart"/>
      <w:r w:rsidRPr="00C419B7">
        <w:rPr>
          <w:i/>
        </w:rPr>
        <w:t>measures</w:t>
      </w:r>
      <w:proofErr w:type="spellEnd"/>
      <w:r>
        <w:t xml:space="preserve">, där blott Aalto och Trinity får ett bättre utfall. KTH tappar framför allt inom underindikatorn </w:t>
      </w:r>
      <w:r w:rsidRPr="00C419B7">
        <w:rPr>
          <w:i/>
        </w:rPr>
        <w:t xml:space="preserve">Policy for </w:t>
      </w:r>
      <w:proofErr w:type="spellStart"/>
      <w:r w:rsidRPr="00C419B7">
        <w:rPr>
          <w:i/>
        </w:rPr>
        <w:t>minimisation</w:t>
      </w:r>
      <w:proofErr w:type="spellEnd"/>
      <w:r w:rsidRPr="00C419B7">
        <w:rPr>
          <w:i/>
        </w:rPr>
        <w:t xml:space="preserve"> of plastic </w:t>
      </w:r>
      <w:proofErr w:type="spellStart"/>
      <w:r w:rsidRPr="00C419B7">
        <w:rPr>
          <w:i/>
        </w:rPr>
        <w:t>use</w:t>
      </w:r>
      <w:proofErr w:type="spellEnd"/>
      <w:r w:rsidR="0038059A">
        <w:t>. Man kan</w:t>
      </w:r>
      <w:r>
        <w:t xml:space="preserve"> konstatera att </w:t>
      </w:r>
      <w:r w:rsidR="00F130BE">
        <w:t>ett flertal</w:t>
      </w:r>
      <w:r>
        <w:t xml:space="preserve"> universitet har policys och riktlinjer på plats och </w:t>
      </w:r>
      <w:r w:rsidR="00DB4583">
        <w:t xml:space="preserve">att </w:t>
      </w:r>
      <w:r w:rsidR="001A48D3">
        <w:t>många</w:t>
      </w:r>
      <w:r>
        <w:t xml:space="preserve"> </w:t>
      </w:r>
      <w:r w:rsidR="001A48D3">
        <w:t>jämförelse</w:t>
      </w:r>
      <w:r>
        <w:t>universitet fick maxpoäng i flera av underindikatorerna.</w:t>
      </w:r>
    </w:p>
    <w:p w:rsidR="002D20F3" w:rsidRDefault="00C1463E" w:rsidP="00C1463E">
      <w:pPr>
        <w:pStyle w:val="Brdtext"/>
      </w:pPr>
      <w:r>
        <w:lastRenderedPageBreak/>
        <w:t xml:space="preserve">Mycket väl presterar KTH i indikatorn </w:t>
      </w:r>
      <w:r w:rsidRPr="00C419B7">
        <w:rPr>
          <w:i/>
        </w:rPr>
        <w:t xml:space="preserve">Proportion of </w:t>
      </w:r>
      <w:proofErr w:type="spellStart"/>
      <w:r w:rsidRPr="00C419B7">
        <w:rPr>
          <w:i/>
        </w:rPr>
        <w:t>recycled</w:t>
      </w:r>
      <w:proofErr w:type="spellEnd"/>
      <w:r w:rsidRPr="00C419B7">
        <w:rPr>
          <w:i/>
        </w:rPr>
        <w:t xml:space="preserve"> </w:t>
      </w:r>
      <w:proofErr w:type="spellStart"/>
      <w:r w:rsidRPr="00C419B7">
        <w:rPr>
          <w:i/>
        </w:rPr>
        <w:t>waste</w:t>
      </w:r>
      <w:proofErr w:type="spellEnd"/>
      <w:r>
        <w:t>, där endast Bergen och Aalto får bättre utfall. Göteborg presterar förvånansvärt svag</w:t>
      </w:r>
      <w:r w:rsidR="0026047D">
        <w:t>t</w:t>
      </w:r>
      <w:r>
        <w:t xml:space="preserve"> inom denna indikator. </w:t>
      </w:r>
    </w:p>
    <w:p w:rsidR="00C1463E" w:rsidRPr="002D20F3" w:rsidRDefault="00C1463E" w:rsidP="00C1463E">
      <w:pPr>
        <w:pStyle w:val="Brdtext"/>
      </w:pPr>
      <w:r>
        <w:t xml:space="preserve">Samtliga </w:t>
      </w:r>
      <w:r w:rsidR="00F130BE">
        <w:t>jämförelse</w:t>
      </w:r>
      <w:r>
        <w:t>universitet med undantag av Ålborg fick full p</w:t>
      </w:r>
      <w:r w:rsidR="00F130BE">
        <w:t>ott</w:t>
      </w:r>
      <w:r>
        <w:t xml:space="preserve"> i indikatorn </w:t>
      </w:r>
      <w:proofErr w:type="spellStart"/>
      <w:r w:rsidRPr="00C419B7">
        <w:rPr>
          <w:i/>
        </w:rPr>
        <w:t>Publication</w:t>
      </w:r>
      <w:proofErr w:type="spellEnd"/>
      <w:r w:rsidRPr="00C419B7">
        <w:rPr>
          <w:i/>
        </w:rPr>
        <w:t xml:space="preserve"> of a </w:t>
      </w:r>
      <w:proofErr w:type="spellStart"/>
      <w:r w:rsidRPr="00C419B7">
        <w:rPr>
          <w:i/>
        </w:rPr>
        <w:t>sustainability</w:t>
      </w:r>
      <w:proofErr w:type="spellEnd"/>
      <w:r w:rsidRPr="00C419B7">
        <w:rPr>
          <w:i/>
        </w:rPr>
        <w:t xml:space="preserve"> </w:t>
      </w:r>
      <w:proofErr w:type="spellStart"/>
      <w:r w:rsidRPr="00C419B7">
        <w:rPr>
          <w:i/>
        </w:rPr>
        <w:t>report</w:t>
      </w:r>
      <w:proofErr w:type="spellEnd"/>
      <w:r>
        <w:t>.</w:t>
      </w:r>
    </w:p>
    <w:p w:rsidR="003D5368" w:rsidRPr="002D20F3" w:rsidRDefault="003D5368" w:rsidP="00324325">
      <w:pPr>
        <w:pStyle w:val="Brdtext"/>
      </w:pPr>
    </w:p>
    <w:p w:rsidR="00324325" w:rsidRPr="00D05CCF" w:rsidRDefault="00324325" w:rsidP="000C272F">
      <w:pPr>
        <w:pStyle w:val="Rubrik3"/>
      </w:pPr>
      <w:bookmarkStart w:id="12" w:name="_Toc63236564"/>
      <w:r w:rsidRPr="00D05CCF">
        <w:t>SDG 13</w:t>
      </w:r>
      <w:r w:rsidR="00AF18C7" w:rsidRPr="00D05CCF">
        <w:t xml:space="preserve"> </w:t>
      </w:r>
      <w:proofErr w:type="spellStart"/>
      <w:r w:rsidR="00AF18C7" w:rsidRPr="00D05CCF">
        <w:t>Climate</w:t>
      </w:r>
      <w:proofErr w:type="spellEnd"/>
      <w:r w:rsidR="00AF18C7" w:rsidRPr="00D05CCF">
        <w:t xml:space="preserve"> Action</w:t>
      </w:r>
      <w:bookmarkEnd w:id="12"/>
    </w:p>
    <w:p w:rsidR="00324325" w:rsidRPr="00CD4BA9" w:rsidRDefault="00805C4C" w:rsidP="00CD4BA9">
      <w:pPr>
        <w:pStyle w:val="Brdtext"/>
      </w:pPr>
      <w:r w:rsidRPr="00CD4BA9">
        <w:t xml:space="preserve">KTH hävdar sig väl sett </w:t>
      </w:r>
      <w:proofErr w:type="spellStart"/>
      <w:r w:rsidRPr="00CD4BA9">
        <w:t>bibliometriskt</w:t>
      </w:r>
      <w:proofErr w:type="spellEnd"/>
      <w:r w:rsidRPr="00CD4BA9">
        <w:t xml:space="preserve"> u</w:t>
      </w:r>
      <w:r w:rsidR="001141A2">
        <w:t>t</w:t>
      </w:r>
      <w:r w:rsidR="00F130BE">
        <w:t>fall sett till forskning avseende b</w:t>
      </w:r>
      <w:r w:rsidR="00A5402E" w:rsidRPr="00A5402E">
        <w:t>ekämpa klimatförändringen</w:t>
      </w:r>
      <w:r w:rsidR="00A5402E">
        <w:t xml:space="preserve">. </w:t>
      </w:r>
      <w:r w:rsidRPr="00CD4BA9">
        <w:t xml:space="preserve">KTH presterar bättre sett till volym än genomslag. </w:t>
      </w:r>
    </w:p>
    <w:p w:rsidR="00805C4C" w:rsidRPr="00CD4BA9" w:rsidRDefault="00805C4C" w:rsidP="00CD4BA9">
      <w:pPr>
        <w:pStyle w:val="Brdtext"/>
      </w:pPr>
      <w:r w:rsidRPr="00CD4BA9">
        <w:t xml:space="preserve">KTH och Göteborg för mycket höga värden i indikatorn </w:t>
      </w:r>
      <w:proofErr w:type="spellStart"/>
      <w:r w:rsidRPr="00C419B7">
        <w:rPr>
          <w:i/>
        </w:rPr>
        <w:t>Low-carbon</w:t>
      </w:r>
      <w:proofErr w:type="spellEnd"/>
      <w:r w:rsidRPr="00C419B7">
        <w:rPr>
          <w:i/>
        </w:rPr>
        <w:t xml:space="preserve"> </w:t>
      </w:r>
      <w:proofErr w:type="spellStart"/>
      <w:r w:rsidRPr="00C419B7">
        <w:rPr>
          <w:i/>
        </w:rPr>
        <w:t>energy</w:t>
      </w:r>
      <w:proofErr w:type="spellEnd"/>
      <w:r w:rsidRPr="00C419B7">
        <w:rPr>
          <w:i/>
        </w:rPr>
        <w:t xml:space="preserve"> </w:t>
      </w:r>
      <w:proofErr w:type="spellStart"/>
      <w:r w:rsidRPr="00C419B7">
        <w:rPr>
          <w:i/>
        </w:rPr>
        <w:t>use</w:t>
      </w:r>
      <w:proofErr w:type="spellEnd"/>
      <w:r w:rsidRPr="00CD4BA9">
        <w:t xml:space="preserve">. Queensland University of Technology, </w:t>
      </w:r>
      <w:proofErr w:type="spellStart"/>
      <w:r w:rsidRPr="00CD4BA9">
        <w:t>Strathclyde</w:t>
      </w:r>
      <w:proofErr w:type="spellEnd"/>
      <w:r w:rsidRPr="00CD4BA9">
        <w:t xml:space="preserve"> och MIT presterar anmärkningsvärt svagt. </w:t>
      </w:r>
    </w:p>
    <w:p w:rsidR="00805C4C" w:rsidRPr="00CD4BA9" w:rsidRDefault="00805C4C" w:rsidP="00CD4BA9">
      <w:pPr>
        <w:pStyle w:val="Brdtext"/>
      </w:pPr>
      <w:r w:rsidRPr="00584CF6">
        <w:t xml:space="preserve">I indikatorn </w:t>
      </w:r>
      <w:proofErr w:type="spellStart"/>
      <w:r w:rsidRPr="00584CF6">
        <w:rPr>
          <w:i/>
        </w:rPr>
        <w:t>Environmental</w:t>
      </w:r>
      <w:proofErr w:type="spellEnd"/>
      <w:r w:rsidRPr="00584CF6">
        <w:rPr>
          <w:i/>
        </w:rPr>
        <w:t xml:space="preserve"> </w:t>
      </w:r>
      <w:proofErr w:type="spellStart"/>
      <w:r w:rsidRPr="00584CF6">
        <w:rPr>
          <w:i/>
        </w:rPr>
        <w:t>education</w:t>
      </w:r>
      <w:proofErr w:type="spellEnd"/>
      <w:r w:rsidRPr="00584CF6">
        <w:rPr>
          <w:i/>
        </w:rPr>
        <w:t xml:space="preserve"> </w:t>
      </w:r>
      <w:proofErr w:type="spellStart"/>
      <w:r w:rsidRPr="00584CF6">
        <w:rPr>
          <w:i/>
        </w:rPr>
        <w:t>measures</w:t>
      </w:r>
      <w:proofErr w:type="spellEnd"/>
      <w:r w:rsidRPr="00584CF6">
        <w:t xml:space="preserve"> presterar jämförelseuniversiteten antingen mycket bra eller sv</w:t>
      </w:r>
      <w:r w:rsidR="009F1986" w:rsidRPr="00584CF6">
        <w:t xml:space="preserve">agt sett till underindikatorerna: </w:t>
      </w:r>
      <w:proofErr w:type="spellStart"/>
      <w:r w:rsidR="009F1986" w:rsidRPr="00584CF6">
        <w:rPr>
          <w:i/>
        </w:rPr>
        <w:t>Local</w:t>
      </w:r>
      <w:proofErr w:type="spellEnd"/>
      <w:r w:rsidR="009F1986" w:rsidRPr="00584CF6">
        <w:rPr>
          <w:i/>
        </w:rPr>
        <w:t xml:space="preserve"> </w:t>
      </w:r>
      <w:proofErr w:type="spellStart"/>
      <w:r w:rsidR="009F1986" w:rsidRPr="00584CF6">
        <w:rPr>
          <w:i/>
        </w:rPr>
        <w:t>education</w:t>
      </w:r>
      <w:proofErr w:type="spellEnd"/>
      <w:r w:rsidR="009F1986" w:rsidRPr="00584CF6">
        <w:rPr>
          <w:i/>
        </w:rPr>
        <w:t xml:space="preserve"> </w:t>
      </w:r>
      <w:proofErr w:type="spellStart"/>
      <w:r w:rsidR="009F1986" w:rsidRPr="00584CF6">
        <w:rPr>
          <w:i/>
        </w:rPr>
        <w:t>programmes</w:t>
      </w:r>
      <w:proofErr w:type="spellEnd"/>
      <w:r w:rsidR="009F1986" w:rsidRPr="00584CF6">
        <w:rPr>
          <w:i/>
        </w:rPr>
        <w:t xml:space="preserve"> on </w:t>
      </w:r>
      <w:proofErr w:type="spellStart"/>
      <w:r w:rsidR="009F1986" w:rsidRPr="00584CF6">
        <w:rPr>
          <w:i/>
        </w:rPr>
        <w:t>climate</w:t>
      </w:r>
      <w:proofErr w:type="spellEnd"/>
      <w:r w:rsidR="009F1986" w:rsidRPr="00584CF6">
        <w:t xml:space="preserve">, </w:t>
      </w:r>
      <w:proofErr w:type="spellStart"/>
      <w:r w:rsidR="009F1986" w:rsidRPr="00584CF6">
        <w:rPr>
          <w:i/>
        </w:rPr>
        <w:t>Climate</w:t>
      </w:r>
      <w:proofErr w:type="spellEnd"/>
      <w:r w:rsidR="009F1986" w:rsidRPr="00584CF6">
        <w:rPr>
          <w:i/>
        </w:rPr>
        <w:t xml:space="preserve"> Action Plan </w:t>
      </w:r>
      <w:proofErr w:type="spellStart"/>
      <w:r w:rsidR="009F1986" w:rsidRPr="00584CF6">
        <w:rPr>
          <w:i/>
        </w:rPr>
        <w:t>shared</w:t>
      </w:r>
      <w:proofErr w:type="spellEnd"/>
      <w:r w:rsidR="009F1986" w:rsidRPr="00584CF6">
        <w:t xml:space="preserve">, </w:t>
      </w:r>
      <w:r w:rsidR="009F1986" w:rsidRPr="00584CF6">
        <w:rPr>
          <w:i/>
        </w:rPr>
        <w:t xml:space="preserve">Co-operative planning for </w:t>
      </w:r>
      <w:proofErr w:type="spellStart"/>
      <w:r w:rsidR="009F1986" w:rsidRPr="00584CF6">
        <w:rPr>
          <w:i/>
        </w:rPr>
        <w:t>climate</w:t>
      </w:r>
      <w:proofErr w:type="spellEnd"/>
      <w:r w:rsidR="009F1986" w:rsidRPr="00584CF6">
        <w:rPr>
          <w:i/>
        </w:rPr>
        <w:t xml:space="preserve"> </w:t>
      </w:r>
      <w:proofErr w:type="spellStart"/>
      <w:r w:rsidR="009F1986" w:rsidRPr="00584CF6">
        <w:rPr>
          <w:i/>
        </w:rPr>
        <w:t>change</w:t>
      </w:r>
      <w:proofErr w:type="spellEnd"/>
      <w:r w:rsidR="009F1986" w:rsidRPr="00584CF6">
        <w:rPr>
          <w:i/>
        </w:rPr>
        <w:t xml:space="preserve"> </w:t>
      </w:r>
      <w:proofErr w:type="spellStart"/>
      <w:r w:rsidR="009F1986" w:rsidRPr="00584CF6">
        <w:rPr>
          <w:i/>
        </w:rPr>
        <w:t>disasters</w:t>
      </w:r>
      <w:proofErr w:type="spellEnd"/>
      <w:r w:rsidR="009F1986" w:rsidRPr="00584CF6">
        <w:t xml:space="preserve">, </w:t>
      </w:r>
      <w:proofErr w:type="spellStart"/>
      <w:r w:rsidR="009F1986" w:rsidRPr="00584CF6">
        <w:rPr>
          <w:i/>
        </w:rPr>
        <w:t>Inform</w:t>
      </w:r>
      <w:proofErr w:type="spellEnd"/>
      <w:r w:rsidR="009F1986" w:rsidRPr="00584CF6">
        <w:rPr>
          <w:i/>
        </w:rPr>
        <w:t xml:space="preserve"> and support </w:t>
      </w:r>
      <w:proofErr w:type="spellStart"/>
      <w:r w:rsidR="009F1986" w:rsidRPr="00584CF6">
        <w:rPr>
          <w:i/>
        </w:rPr>
        <w:t>government</w:t>
      </w:r>
      <w:proofErr w:type="spellEnd"/>
      <w:r w:rsidR="009F1986" w:rsidRPr="00584CF6">
        <w:t xml:space="preserve"> och </w:t>
      </w:r>
      <w:proofErr w:type="spellStart"/>
      <w:r w:rsidR="009F1986" w:rsidRPr="00584CF6">
        <w:rPr>
          <w:i/>
        </w:rPr>
        <w:t>Environmental</w:t>
      </w:r>
      <w:proofErr w:type="spellEnd"/>
      <w:r w:rsidR="009F1986" w:rsidRPr="00584CF6">
        <w:rPr>
          <w:i/>
        </w:rPr>
        <w:t xml:space="preserve"> </w:t>
      </w:r>
      <w:proofErr w:type="spellStart"/>
      <w:r w:rsidR="009F1986" w:rsidRPr="00584CF6">
        <w:rPr>
          <w:i/>
        </w:rPr>
        <w:t>education</w:t>
      </w:r>
      <w:proofErr w:type="spellEnd"/>
      <w:r w:rsidR="009F1986" w:rsidRPr="00584CF6">
        <w:rPr>
          <w:i/>
        </w:rPr>
        <w:t xml:space="preserve"> </w:t>
      </w:r>
      <w:proofErr w:type="spellStart"/>
      <w:r w:rsidR="009F1986" w:rsidRPr="00584CF6">
        <w:rPr>
          <w:i/>
        </w:rPr>
        <w:t>collaborate</w:t>
      </w:r>
      <w:proofErr w:type="spellEnd"/>
      <w:r w:rsidR="009F1986" w:rsidRPr="00584CF6">
        <w:rPr>
          <w:i/>
        </w:rPr>
        <w:t xml:space="preserve"> NGO</w:t>
      </w:r>
      <w:r w:rsidRPr="00584CF6">
        <w:t xml:space="preserve">. </w:t>
      </w:r>
      <w:r w:rsidRPr="00CD4BA9">
        <w:t xml:space="preserve">KTH fick endast </w:t>
      </w:r>
      <w:r w:rsidR="00F130BE">
        <w:t>full utdelning</w:t>
      </w:r>
      <w:r w:rsidRPr="00CD4BA9">
        <w:t xml:space="preserve"> i underindi</w:t>
      </w:r>
      <w:r w:rsidR="00DB4583">
        <w:t xml:space="preserve">katorn </w:t>
      </w:r>
      <w:proofErr w:type="spellStart"/>
      <w:r w:rsidR="00DB4583" w:rsidRPr="00C419B7">
        <w:rPr>
          <w:i/>
        </w:rPr>
        <w:t>Inform</w:t>
      </w:r>
      <w:proofErr w:type="spellEnd"/>
      <w:r w:rsidR="00DB4583" w:rsidRPr="00C419B7">
        <w:rPr>
          <w:i/>
        </w:rPr>
        <w:t xml:space="preserve"> and support </w:t>
      </w:r>
      <w:proofErr w:type="spellStart"/>
      <w:r w:rsidR="00DB4583" w:rsidRPr="00C419B7">
        <w:rPr>
          <w:i/>
        </w:rPr>
        <w:t>govern</w:t>
      </w:r>
      <w:r w:rsidRPr="00C419B7">
        <w:rPr>
          <w:i/>
        </w:rPr>
        <w:t>ment</w:t>
      </w:r>
      <w:proofErr w:type="spellEnd"/>
      <w:r w:rsidRPr="00CD4BA9">
        <w:t>.</w:t>
      </w:r>
    </w:p>
    <w:p w:rsidR="00D75DF3" w:rsidRPr="00CD4BA9" w:rsidRDefault="00D75DF3" w:rsidP="00CD4BA9">
      <w:pPr>
        <w:pStyle w:val="Brdtext"/>
      </w:pPr>
      <w:r w:rsidRPr="00CD4BA9">
        <w:t xml:space="preserve">Inget av jämförelseuniversiteten presterar särskilt väl i indikatorn </w:t>
      </w:r>
      <w:proofErr w:type="spellStart"/>
      <w:r w:rsidRPr="00C419B7">
        <w:rPr>
          <w:i/>
        </w:rPr>
        <w:t>Commitment</w:t>
      </w:r>
      <w:proofErr w:type="spellEnd"/>
      <w:r w:rsidRPr="00C419B7">
        <w:rPr>
          <w:i/>
        </w:rPr>
        <w:t xml:space="preserve"> to </w:t>
      </w:r>
      <w:proofErr w:type="spellStart"/>
      <w:r w:rsidRPr="00C419B7">
        <w:rPr>
          <w:i/>
        </w:rPr>
        <w:t>carbon</w:t>
      </w:r>
      <w:proofErr w:type="spellEnd"/>
      <w:r w:rsidRPr="00C419B7">
        <w:rPr>
          <w:i/>
        </w:rPr>
        <w:t xml:space="preserve"> neutral </w:t>
      </w:r>
      <w:proofErr w:type="spellStart"/>
      <w:r w:rsidRPr="00C419B7">
        <w:rPr>
          <w:i/>
        </w:rPr>
        <w:t>univ</w:t>
      </w:r>
      <w:r w:rsidR="0038059A" w:rsidRPr="00C419B7">
        <w:rPr>
          <w:i/>
        </w:rPr>
        <w:t>ersity</w:t>
      </w:r>
      <w:proofErr w:type="spellEnd"/>
      <w:r w:rsidR="0038059A">
        <w:t>. KTH får låga värden, dock fick</w:t>
      </w:r>
      <w:r w:rsidRPr="00CD4BA9">
        <w:t xml:space="preserve"> endast Bergen och Queensl</w:t>
      </w:r>
      <w:r w:rsidR="00F130BE">
        <w:t>and University of Technology fick</w:t>
      </w:r>
      <w:r w:rsidRPr="00CD4BA9">
        <w:t xml:space="preserve"> bättre värden </w:t>
      </w:r>
      <w:r w:rsidR="00F130BE">
        <w:t>sett till</w:t>
      </w:r>
      <w:r w:rsidRPr="00CD4BA9">
        <w:t xml:space="preserve"> jämförelseuniversiteten. </w:t>
      </w:r>
    </w:p>
    <w:p w:rsidR="00156524" w:rsidRPr="00805C4C" w:rsidRDefault="00156524" w:rsidP="00324325">
      <w:pPr>
        <w:pStyle w:val="Brdtext"/>
        <w:rPr>
          <w:sz w:val="20"/>
        </w:rPr>
      </w:pPr>
    </w:p>
    <w:p w:rsidR="00324325" w:rsidRPr="00D05CCF" w:rsidRDefault="00324325" w:rsidP="000C272F">
      <w:pPr>
        <w:pStyle w:val="Rubrik3"/>
      </w:pPr>
      <w:bookmarkStart w:id="13" w:name="_Toc63236565"/>
      <w:r w:rsidRPr="00D05CCF">
        <w:t>SDG 15</w:t>
      </w:r>
      <w:r w:rsidR="00AF18C7" w:rsidRPr="00D05CCF">
        <w:t xml:space="preserve"> Life on Land</w:t>
      </w:r>
      <w:bookmarkEnd w:id="13"/>
    </w:p>
    <w:p w:rsidR="00EC05C9" w:rsidRPr="00CD4BA9" w:rsidRDefault="00610246" w:rsidP="00CD4BA9">
      <w:pPr>
        <w:pStyle w:val="Brdtext"/>
      </w:pPr>
      <w:r>
        <w:t>Flera</w:t>
      </w:r>
      <w:r w:rsidR="003A55C2">
        <w:t xml:space="preserve"> av</w:t>
      </w:r>
      <w:r w:rsidR="00B57A91" w:rsidRPr="00CD4BA9">
        <w:t xml:space="preserve"> jämförelseuniversiteten presterar </w:t>
      </w:r>
      <w:proofErr w:type="spellStart"/>
      <w:r w:rsidR="00B57A91" w:rsidRPr="00CD4BA9">
        <w:t>bibliometriskt</w:t>
      </w:r>
      <w:proofErr w:type="spellEnd"/>
      <w:r w:rsidR="00B57A91" w:rsidRPr="00CD4BA9">
        <w:t xml:space="preserve"> sett b</w:t>
      </w:r>
      <w:r w:rsidR="00EC3F5F">
        <w:t>ättre</w:t>
      </w:r>
      <w:r w:rsidR="00B57A91" w:rsidRPr="00CD4BA9">
        <w:t xml:space="preserve"> än KTH. Endast UPC, Waterloo och </w:t>
      </w:r>
      <w:proofErr w:type="spellStart"/>
      <w:r w:rsidR="00B57A91" w:rsidRPr="00CD4BA9">
        <w:t>Strathclyde</w:t>
      </w:r>
      <w:proofErr w:type="spellEnd"/>
      <w:r w:rsidR="00B57A91" w:rsidRPr="00CD4BA9">
        <w:t xml:space="preserve"> f</w:t>
      </w:r>
      <w:r w:rsidR="0014519E">
        <w:t>ick</w:t>
      </w:r>
      <w:r w:rsidR="00B57A91" w:rsidRPr="00CD4BA9">
        <w:t xml:space="preserve"> sämre utfall. KTH står sig bättre</w:t>
      </w:r>
      <w:r w:rsidR="00FA1030">
        <w:t xml:space="preserve"> sett</w:t>
      </w:r>
      <w:r w:rsidR="00B57A91" w:rsidRPr="00CD4BA9">
        <w:t xml:space="preserve"> till volym än genomslag.</w:t>
      </w:r>
    </w:p>
    <w:p w:rsidR="00B57A91" w:rsidRPr="00CD4BA9" w:rsidRDefault="00B57A91" w:rsidP="00CD4BA9">
      <w:pPr>
        <w:pStyle w:val="Brdtext"/>
      </w:pPr>
      <w:r w:rsidRPr="00CD4BA9">
        <w:t xml:space="preserve">Beaktar vi indikatorn </w:t>
      </w:r>
      <w:proofErr w:type="spellStart"/>
      <w:r w:rsidRPr="00C419B7">
        <w:rPr>
          <w:i/>
        </w:rPr>
        <w:t>Supporting</w:t>
      </w:r>
      <w:proofErr w:type="spellEnd"/>
      <w:r w:rsidRPr="00C419B7">
        <w:rPr>
          <w:i/>
        </w:rPr>
        <w:t xml:space="preserve"> land </w:t>
      </w:r>
      <w:proofErr w:type="spellStart"/>
      <w:r w:rsidRPr="00C419B7">
        <w:rPr>
          <w:i/>
        </w:rPr>
        <w:t>ecosystems</w:t>
      </w:r>
      <w:proofErr w:type="spellEnd"/>
      <w:r w:rsidRPr="00C419B7">
        <w:rPr>
          <w:i/>
        </w:rPr>
        <w:t xml:space="preserve"> </w:t>
      </w:r>
      <w:proofErr w:type="spellStart"/>
      <w:r w:rsidRPr="00C419B7">
        <w:rPr>
          <w:i/>
        </w:rPr>
        <w:t>through</w:t>
      </w:r>
      <w:proofErr w:type="spellEnd"/>
      <w:r w:rsidRPr="00C419B7">
        <w:rPr>
          <w:i/>
        </w:rPr>
        <w:t xml:space="preserve"> </w:t>
      </w:r>
      <w:proofErr w:type="spellStart"/>
      <w:r w:rsidRPr="00C419B7">
        <w:rPr>
          <w:i/>
        </w:rPr>
        <w:t>education</w:t>
      </w:r>
      <w:proofErr w:type="spellEnd"/>
      <w:r w:rsidRPr="00CD4BA9">
        <w:t xml:space="preserve"> får Waterloo och </w:t>
      </w:r>
      <w:proofErr w:type="spellStart"/>
      <w:r w:rsidRPr="00CD4BA9">
        <w:t>Strathclyde</w:t>
      </w:r>
      <w:proofErr w:type="spellEnd"/>
      <w:r w:rsidRPr="00CD4BA9">
        <w:t xml:space="preserve"> mycket höga värden. Gen</w:t>
      </w:r>
      <w:r w:rsidR="008F4381">
        <w:t>erellt har få av jämförel</w:t>
      </w:r>
      <w:r w:rsidRPr="00CD4BA9">
        <w:t>s</w:t>
      </w:r>
      <w:r w:rsidR="008F4381">
        <w:t>e</w:t>
      </w:r>
      <w:r w:rsidRPr="00CD4BA9">
        <w:t>universitet</w:t>
      </w:r>
      <w:r w:rsidR="008F4381">
        <w:t>e</w:t>
      </w:r>
      <w:r w:rsidRPr="00CD4BA9">
        <w:t>n</w:t>
      </w:r>
      <w:r w:rsidR="008F4381">
        <w:t xml:space="preserve"> utbildning i </w:t>
      </w:r>
      <w:proofErr w:type="spellStart"/>
      <w:r w:rsidR="008F4381" w:rsidRPr="00C419B7">
        <w:rPr>
          <w:i/>
        </w:rPr>
        <w:t>Education</w:t>
      </w:r>
      <w:proofErr w:type="spellEnd"/>
      <w:r w:rsidRPr="00C419B7">
        <w:rPr>
          <w:i/>
        </w:rPr>
        <w:t xml:space="preserve"> </w:t>
      </w:r>
      <w:proofErr w:type="spellStart"/>
      <w:r w:rsidRPr="00C419B7">
        <w:rPr>
          <w:i/>
        </w:rPr>
        <w:t>programmes</w:t>
      </w:r>
      <w:proofErr w:type="spellEnd"/>
      <w:r w:rsidRPr="00C419B7">
        <w:rPr>
          <w:i/>
        </w:rPr>
        <w:t xml:space="preserve"> on </w:t>
      </w:r>
      <w:proofErr w:type="spellStart"/>
      <w:r w:rsidRPr="00C419B7">
        <w:rPr>
          <w:i/>
        </w:rPr>
        <w:t>ecosystems</w:t>
      </w:r>
      <w:proofErr w:type="spellEnd"/>
      <w:r w:rsidRPr="00CD4BA9">
        <w:t xml:space="preserve"> och </w:t>
      </w:r>
      <w:proofErr w:type="spellStart"/>
      <w:r w:rsidRPr="00C419B7">
        <w:rPr>
          <w:i/>
        </w:rPr>
        <w:t>Sustainable</w:t>
      </w:r>
      <w:proofErr w:type="spellEnd"/>
      <w:r w:rsidRPr="00C419B7">
        <w:rPr>
          <w:i/>
        </w:rPr>
        <w:t xml:space="preserve"> </w:t>
      </w:r>
      <w:proofErr w:type="spellStart"/>
      <w:r w:rsidR="008F4381" w:rsidRPr="00C419B7">
        <w:rPr>
          <w:i/>
        </w:rPr>
        <w:t>managment</w:t>
      </w:r>
      <w:proofErr w:type="spellEnd"/>
      <w:r w:rsidRPr="00C419B7">
        <w:rPr>
          <w:i/>
        </w:rPr>
        <w:t xml:space="preserve"> of land for </w:t>
      </w:r>
      <w:proofErr w:type="spellStart"/>
      <w:r w:rsidRPr="00C419B7">
        <w:rPr>
          <w:i/>
        </w:rPr>
        <w:t>agriculture</w:t>
      </w:r>
      <w:proofErr w:type="spellEnd"/>
      <w:r w:rsidRPr="00C419B7">
        <w:rPr>
          <w:i/>
        </w:rPr>
        <w:t xml:space="preserve"> and </w:t>
      </w:r>
      <w:proofErr w:type="spellStart"/>
      <w:r w:rsidRPr="00C419B7">
        <w:rPr>
          <w:i/>
        </w:rPr>
        <w:t>tourism</w:t>
      </w:r>
      <w:proofErr w:type="spellEnd"/>
      <w:r w:rsidRPr="00C419B7">
        <w:rPr>
          <w:i/>
        </w:rPr>
        <w:t xml:space="preserve"> (</w:t>
      </w:r>
      <w:proofErr w:type="spellStart"/>
      <w:r w:rsidRPr="00C419B7">
        <w:rPr>
          <w:i/>
        </w:rPr>
        <w:t>edu</w:t>
      </w:r>
      <w:r w:rsidR="008F4381" w:rsidRPr="00C419B7">
        <w:rPr>
          <w:i/>
        </w:rPr>
        <w:t>cation</w:t>
      </w:r>
      <w:proofErr w:type="spellEnd"/>
      <w:r w:rsidRPr="00C419B7">
        <w:rPr>
          <w:i/>
        </w:rPr>
        <w:t xml:space="preserve"> </w:t>
      </w:r>
      <w:proofErr w:type="spellStart"/>
      <w:r w:rsidRPr="00C419B7">
        <w:rPr>
          <w:i/>
        </w:rPr>
        <w:t>outreach</w:t>
      </w:r>
      <w:proofErr w:type="spellEnd"/>
      <w:r w:rsidRPr="00C419B7">
        <w:rPr>
          <w:i/>
        </w:rPr>
        <w:t>)</w:t>
      </w:r>
      <w:r w:rsidRPr="00CD4BA9">
        <w:t xml:space="preserve">. Noterbart är också att </w:t>
      </w:r>
      <w:proofErr w:type="spellStart"/>
      <w:r w:rsidRPr="00CD4BA9">
        <w:t>Stra</w:t>
      </w:r>
      <w:r w:rsidR="00FA1030">
        <w:t>th</w:t>
      </w:r>
      <w:r w:rsidRPr="00CD4BA9">
        <w:t>clyde</w:t>
      </w:r>
      <w:proofErr w:type="spellEnd"/>
      <w:r w:rsidRPr="00CD4BA9">
        <w:t xml:space="preserve"> </w:t>
      </w:r>
      <w:r w:rsidR="00610246">
        <w:t xml:space="preserve">och Waterloo </w:t>
      </w:r>
      <w:r w:rsidRPr="00CD4BA9">
        <w:t xml:space="preserve">fick maxpoäng på </w:t>
      </w:r>
      <w:proofErr w:type="spellStart"/>
      <w:r w:rsidRPr="00C419B7">
        <w:rPr>
          <w:i/>
        </w:rPr>
        <w:t>Sustainably</w:t>
      </w:r>
      <w:proofErr w:type="spellEnd"/>
      <w:r w:rsidRPr="00C419B7">
        <w:rPr>
          <w:i/>
        </w:rPr>
        <w:t xml:space="preserve"> </w:t>
      </w:r>
      <w:proofErr w:type="spellStart"/>
      <w:r w:rsidRPr="00C419B7">
        <w:rPr>
          <w:i/>
        </w:rPr>
        <w:t>farmed</w:t>
      </w:r>
      <w:proofErr w:type="spellEnd"/>
      <w:r w:rsidRPr="00C419B7">
        <w:rPr>
          <w:i/>
        </w:rPr>
        <w:t xml:space="preserve"> </w:t>
      </w:r>
      <w:proofErr w:type="spellStart"/>
      <w:r w:rsidRPr="00C419B7">
        <w:rPr>
          <w:i/>
        </w:rPr>
        <w:t>food</w:t>
      </w:r>
      <w:proofErr w:type="spellEnd"/>
      <w:r w:rsidRPr="00C419B7">
        <w:rPr>
          <w:i/>
        </w:rPr>
        <w:t xml:space="preserve"> on campus</w:t>
      </w:r>
      <w:r w:rsidRPr="00CD4BA9">
        <w:t xml:space="preserve">, där KTH </w:t>
      </w:r>
      <w:r w:rsidR="003A55C2">
        <w:t>rankades</w:t>
      </w:r>
      <w:r w:rsidRPr="00CD4BA9">
        <w:t xml:space="preserve"> i mellanskiktet. </w:t>
      </w:r>
    </w:p>
    <w:p w:rsidR="00B01EBF" w:rsidRPr="00CD4BA9" w:rsidRDefault="00B01EBF" w:rsidP="00CD4BA9">
      <w:pPr>
        <w:pStyle w:val="Brdtext"/>
      </w:pPr>
      <w:r w:rsidRPr="00CD4BA9">
        <w:t xml:space="preserve">KTH hävdar sig i jämförelse med jämförelseuniversiteten bra inom </w:t>
      </w:r>
      <w:r w:rsidR="00F130BE">
        <w:t xml:space="preserve">indikatorn </w:t>
      </w:r>
      <w:proofErr w:type="spellStart"/>
      <w:r w:rsidRPr="00C419B7">
        <w:rPr>
          <w:i/>
        </w:rPr>
        <w:t>Supporting</w:t>
      </w:r>
      <w:proofErr w:type="spellEnd"/>
      <w:r w:rsidRPr="00C419B7">
        <w:rPr>
          <w:i/>
        </w:rPr>
        <w:t xml:space="preserve"> land </w:t>
      </w:r>
      <w:proofErr w:type="spellStart"/>
      <w:r w:rsidRPr="00C419B7">
        <w:rPr>
          <w:i/>
        </w:rPr>
        <w:t>ecosystems</w:t>
      </w:r>
      <w:proofErr w:type="spellEnd"/>
      <w:r w:rsidRPr="00C419B7">
        <w:rPr>
          <w:i/>
        </w:rPr>
        <w:t xml:space="preserve"> </w:t>
      </w:r>
      <w:proofErr w:type="spellStart"/>
      <w:r w:rsidRPr="00C419B7">
        <w:rPr>
          <w:i/>
        </w:rPr>
        <w:t>through</w:t>
      </w:r>
      <w:proofErr w:type="spellEnd"/>
      <w:r w:rsidRPr="00C419B7">
        <w:rPr>
          <w:i/>
        </w:rPr>
        <w:t xml:space="preserve"> action</w:t>
      </w:r>
      <w:r w:rsidRPr="00CD4BA9">
        <w:t xml:space="preserve">. Endast Waterloo och </w:t>
      </w:r>
      <w:proofErr w:type="spellStart"/>
      <w:r w:rsidRPr="00CD4BA9">
        <w:t>Strathclyde</w:t>
      </w:r>
      <w:proofErr w:type="spellEnd"/>
      <w:r w:rsidRPr="00CD4BA9">
        <w:t xml:space="preserve"> f</w:t>
      </w:r>
      <w:r w:rsidR="0014519E">
        <w:t>ick</w:t>
      </w:r>
      <w:r w:rsidRPr="00CD4BA9">
        <w:t xml:space="preserve"> bättre värden. </w:t>
      </w:r>
      <w:r w:rsidR="00472D79">
        <w:t>F</w:t>
      </w:r>
      <w:r w:rsidRPr="00CD4BA9">
        <w:t>å av jämförelse</w:t>
      </w:r>
      <w:r w:rsidR="0014519E" w:rsidRPr="00CD4BA9">
        <w:t>universitet</w:t>
      </w:r>
      <w:r w:rsidR="0014519E">
        <w:t>en</w:t>
      </w:r>
      <w:r w:rsidR="00F130BE">
        <w:t xml:space="preserve"> tilldelades</w:t>
      </w:r>
      <w:r w:rsidRPr="00CD4BA9">
        <w:t xml:space="preserve"> några värden alls i </w:t>
      </w:r>
      <w:proofErr w:type="spellStart"/>
      <w:r w:rsidRPr="00C419B7">
        <w:rPr>
          <w:i/>
        </w:rPr>
        <w:t>Monitoring</w:t>
      </w:r>
      <w:proofErr w:type="spellEnd"/>
      <w:r w:rsidRPr="00C419B7">
        <w:rPr>
          <w:i/>
        </w:rPr>
        <w:t xml:space="preserve"> IUCN and </w:t>
      </w:r>
      <w:proofErr w:type="spellStart"/>
      <w:r w:rsidRPr="00C419B7">
        <w:rPr>
          <w:i/>
        </w:rPr>
        <w:t>other</w:t>
      </w:r>
      <w:proofErr w:type="spellEnd"/>
      <w:r w:rsidRPr="00C419B7">
        <w:rPr>
          <w:i/>
        </w:rPr>
        <w:t xml:space="preserve"> </w:t>
      </w:r>
      <w:proofErr w:type="spellStart"/>
      <w:r w:rsidRPr="00C419B7">
        <w:rPr>
          <w:i/>
        </w:rPr>
        <w:t>conservation</w:t>
      </w:r>
      <w:proofErr w:type="spellEnd"/>
      <w:r w:rsidRPr="00C419B7">
        <w:rPr>
          <w:i/>
        </w:rPr>
        <w:t xml:space="preserve"> species (</w:t>
      </w:r>
      <w:proofErr w:type="spellStart"/>
      <w:r w:rsidRPr="00C419B7">
        <w:rPr>
          <w:i/>
        </w:rPr>
        <w:t>policies</w:t>
      </w:r>
      <w:proofErr w:type="spellEnd"/>
      <w:r w:rsidRPr="00C419B7">
        <w:rPr>
          <w:i/>
        </w:rPr>
        <w:t>)</w:t>
      </w:r>
      <w:r w:rsidRPr="00CD4BA9">
        <w:t xml:space="preserve"> och </w:t>
      </w:r>
      <w:proofErr w:type="spellStart"/>
      <w:r w:rsidRPr="00C419B7">
        <w:rPr>
          <w:i/>
        </w:rPr>
        <w:t>Local</w:t>
      </w:r>
      <w:proofErr w:type="spellEnd"/>
      <w:r w:rsidRPr="00C419B7">
        <w:rPr>
          <w:i/>
        </w:rPr>
        <w:t xml:space="preserve"> </w:t>
      </w:r>
      <w:proofErr w:type="spellStart"/>
      <w:r w:rsidRPr="00C419B7">
        <w:rPr>
          <w:i/>
        </w:rPr>
        <w:t>biodiversi</w:t>
      </w:r>
      <w:r w:rsidR="00472D79" w:rsidRPr="00C419B7">
        <w:rPr>
          <w:i/>
        </w:rPr>
        <w:t>ty</w:t>
      </w:r>
      <w:proofErr w:type="spellEnd"/>
      <w:r w:rsidR="00472D79" w:rsidRPr="00C419B7">
        <w:rPr>
          <w:i/>
        </w:rPr>
        <w:t xml:space="preserve"> </w:t>
      </w:r>
      <w:proofErr w:type="spellStart"/>
      <w:r w:rsidR="00472D79" w:rsidRPr="00C419B7">
        <w:rPr>
          <w:i/>
        </w:rPr>
        <w:t>included</w:t>
      </w:r>
      <w:proofErr w:type="spellEnd"/>
      <w:r w:rsidR="00472D79" w:rsidRPr="00C419B7">
        <w:rPr>
          <w:i/>
        </w:rPr>
        <w:t xml:space="preserve"> in planning and </w:t>
      </w:r>
      <w:proofErr w:type="spellStart"/>
      <w:r w:rsidR="00472D79" w:rsidRPr="00C419B7">
        <w:rPr>
          <w:i/>
        </w:rPr>
        <w:t>development</w:t>
      </w:r>
      <w:proofErr w:type="spellEnd"/>
      <w:r w:rsidRPr="00CD4BA9">
        <w:t xml:space="preserve">. Mycket skiftande resultat kan </w:t>
      </w:r>
      <w:r w:rsidR="008F4381" w:rsidRPr="00CD4BA9">
        <w:t>jämväl</w:t>
      </w:r>
      <w:r w:rsidRPr="00CD4BA9">
        <w:t xml:space="preserve"> konstateras för </w:t>
      </w:r>
      <w:r w:rsidRPr="00C419B7">
        <w:rPr>
          <w:i/>
        </w:rPr>
        <w:t xml:space="preserve">Alien species impact </w:t>
      </w:r>
      <w:proofErr w:type="spellStart"/>
      <w:r w:rsidRPr="00C419B7">
        <w:rPr>
          <w:i/>
        </w:rPr>
        <w:t>reduction</w:t>
      </w:r>
      <w:proofErr w:type="spellEnd"/>
      <w:r w:rsidRPr="00C419B7">
        <w:rPr>
          <w:i/>
        </w:rPr>
        <w:t xml:space="preserve"> (</w:t>
      </w:r>
      <w:proofErr w:type="spellStart"/>
      <w:r w:rsidRPr="00C419B7">
        <w:rPr>
          <w:i/>
        </w:rPr>
        <w:t>policies</w:t>
      </w:r>
      <w:proofErr w:type="spellEnd"/>
      <w:r w:rsidRPr="00C419B7">
        <w:rPr>
          <w:i/>
        </w:rPr>
        <w:t>)</w:t>
      </w:r>
      <w:r w:rsidRPr="00CD4BA9">
        <w:t xml:space="preserve"> och </w:t>
      </w:r>
      <w:proofErr w:type="spellStart"/>
      <w:r w:rsidRPr="00C419B7">
        <w:rPr>
          <w:i/>
        </w:rPr>
        <w:t>Collaboration</w:t>
      </w:r>
      <w:proofErr w:type="spellEnd"/>
      <w:r w:rsidRPr="00C419B7">
        <w:rPr>
          <w:i/>
        </w:rPr>
        <w:t xml:space="preserve"> for </w:t>
      </w:r>
      <w:proofErr w:type="spellStart"/>
      <w:r w:rsidRPr="00C419B7">
        <w:rPr>
          <w:i/>
        </w:rPr>
        <w:t>shared</w:t>
      </w:r>
      <w:proofErr w:type="spellEnd"/>
      <w:r w:rsidRPr="00C419B7">
        <w:rPr>
          <w:i/>
        </w:rPr>
        <w:t xml:space="preserve"> land </w:t>
      </w:r>
      <w:proofErr w:type="spellStart"/>
      <w:r w:rsidRPr="00C419B7">
        <w:rPr>
          <w:i/>
        </w:rPr>
        <w:t>ecosystems</w:t>
      </w:r>
      <w:proofErr w:type="spellEnd"/>
      <w:r w:rsidRPr="00CD4BA9">
        <w:t>.</w:t>
      </w:r>
    </w:p>
    <w:p w:rsidR="00B01EBF" w:rsidRDefault="00B01EBF" w:rsidP="00D003BB">
      <w:pPr>
        <w:pStyle w:val="Brdtext"/>
      </w:pPr>
      <w:r w:rsidRPr="00CD4BA9">
        <w:t xml:space="preserve">I jämförelse med jämförelseuniversiteten fick KTH relativt bra värden i </w:t>
      </w:r>
      <w:r w:rsidRPr="00C419B7">
        <w:rPr>
          <w:i/>
        </w:rPr>
        <w:t xml:space="preserve">Land-sensitive </w:t>
      </w:r>
      <w:proofErr w:type="spellStart"/>
      <w:r w:rsidRPr="00C419B7">
        <w:rPr>
          <w:i/>
        </w:rPr>
        <w:t>waste</w:t>
      </w:r>
      <w:proofErr w:type="spellEnd"/>
      <w:r w:rsidRPr="00C419B7">
        <w:rPr>
          <w:i/>
        </w:rPr>
        <w:t xml:space="preserve"> </w:t>
      </w:r>
      <w:proofErr w:type="spellStart"/>
      <w:r w:rsidRPr="00C419B7">
        <w:rPr>
          <w:i/>
        </w:rPr>
        <w:t>disposal</w:t>
      </w:r>
      <w:proofErr w:type="spellEnd"/>
      <w:r w:rsidRPr="00CD4BA9">
        <w:t xml:space="preserve">, där endast Göteborg, Waterloo och </w:t>
      </w:r>
      <w:proofErr w:type="spellStart"/>
      <w:r w:rsidRPr="00CD4BA9">
        <w:t>Strathclyde</w:t>
      </w:r>
      <w:proofErr w:type="spellEnd"/>
      <w:r w:rsidRPr="00CD4BA9">
        <w:t xml:space="preserve"> fick ett bättre </w:t>
      </w:r>
      <w:r w:rsidR="008F4381">
        <w:t>resultat</w:t>
      </w:r>
      <w:r w:rsidRPr="00CD4BA9">
        <w:t xml:space="preserve">. Bergen, UPC och </w:t>
      </w:r>
      <w:r w:rsidR="00610246">
        <w:t>Ålborg</w:t>
      </w:r>
      <w:r w:rsidRPr="00CD4BA9">
        <w:t xml:space="preserve"> fick relativt låga värden. KTH tappar på svaga värden i </w:t>
      </w:r>
      <w:proofErr w:type="spellStart"/>
      <w:r w:rsidRPr="00C419B7">
        <w:rPr>
          <w:i/>
        </w:rPr>
        <w:t>Water</w:t>
      </w:r>
      <w:proofErr w:type="spellEnd"/>
      <w:r w:rsidRPr="00C419B7">
        <w:rPr>
          <w:i/>
        </w:rPr>
        <w:t xml:space="preserve"> discharge </w:t>
      </w:r>
      <w:proofErr w:type="spellStart"/>
      <w:r w:rsidRPr="00C419B7">
        <w:rPr>
          <w:i/>
        </w:rPr>
        <w:t>guidelines</w:t>
      </w:r>
      <w:proofErr w:type="spellEnd"/>
      <w:r w:rsidRPr="00C419B7">
        <w:rPr>
          <w:i/>
        </w:rPr>
        <w:t xml:space="preserve"> and standards</w:t>
      </w:r>
      <w:r w:rsidRPr="00CD4BA9">
        <w:t xml:space="preserve">. </w:t>
      </w:r>
    </w:p>
    <w:p w:rsidR="00A329F0" w:rsidRPr="00B01EBF" w:rsidRDefault="00A329F0" w:rsidP="00D003BB">
      <w:pPr>
        <w:pStyle w:val="Brdtext"/>
      </w:pPr>
    </w:p>
    <w:p w:rsidR="00324325" w:rsidRPr="00B01EBF" w:rsidRDefault="00324325" w:rsidP="000C272F">
      <w:pPr>
        <w:pStyle w:val="Rubrik3"/>
      </w:pPr>
      <w:bookmarkStart w:id="14" w:name="_Toc63236566"/>
      <w:r w:rsidRPr="00B01EBF">
        <w:lastRenderedPageBreak/>
        <w:t>SDG 17</w:t>
      </w:r>
      <w:r w:rsidR="00AF18C7" w:rsidRPr="00B01EBF">
        <w:t xml:space="preserve"> Partnership for the </w:t>
      </w:r>
      <w:proofErr w:type="spellStart"/>
      <w:r w:rsidR="00AF18C7" w:rsidRPr="00B01EBF">
        <w:t>Goals</w:t>
      </w:r>
      <w:bookmarkEnd w:id="14"/>
      <w:proofErr w:type="spellEnd"/>
    </w:p>
    <w:p w:rsidR="008E7918" w:rsidRPr="00CD4BA9" w:rsidRDefault="008F4381" w:rsidP="00CD4BA9">
      <w:pPr>
        <w:pStyle w:val="Brdtext"/>
      </w:pPr>
      <w:r>
        <w:t>KTH hävdar sig någorlunda</w:t>
      </w:r>
      <w:r w:rsidR="008E7918" w:rsidRPr="00CD4BA9">
        <w:t xml:space="preserve"> väl sett </w:t>
      </w:r>
      <w:r w:rsidR="00481D03">
        <w:t xml:space="preserve">till </w:t>
      </w:r>
      <w:proofErr w:type="spellStart"/>
      <w:r w:rsidR="00481D03">
        <w:t>bibliometriskt</w:t>
      </w:r>
      <w:proofErr w:type="spellEnd"/>
      <w:r w:rsidR="00481D03">
        <w:t xml:space="preserve"> utfall </w:t>
      </w:r>
      <w:r w:rsidR="008E7918" w:rsidRPr="00CD4BA9">
        <w:t xml:space="preserve">inom </w:t>
      </w:r>
      <w:r w:rsidR="008E7918" w:rsidRPr="00C419B7">
        <w:rPr>
          <w:i/>
        </w:rPr>
        <w:t xml:space="preserve">Research </w:t>
      </w:r>
      <w:proofErr w:type="spellStart"/>
      <w:r w:rsidR="008E7918" w:rsidRPr="00C419B7">
        <w:rPr>
          <w:i/>
        </w:rPr>
        <w:t>into</w:t>
      </w:r>
      <w:proofErr w:type="spellEnd"/>
      <w:r w:rsidR="008E7918" w:rsidRPr="00C419B7">
        <w:rPr>
          <w:i/>
        </w:rPr>
        <w:t xml:space="preserve"> partnership for the </w:t>
      </w:r>
      <w:proofErr w:type="spellStart"/>
      <w:r w:rsidR="008E7918" w:rsidRPr="00C419B7">
        <w:rPr>
          <w:i/>
        </w:rPr>
        <w:t>goals</w:t>
      </w:r>
      <w:proofErr w:type="spellEnd"/>
      <w:r w:rsidR="008E7918" w:rsidRPr="00CD4BA9">
        <w:t xml:space="preserve">. Göteborg, </w:t>
      </w:r>
      <w:proofErr w:type="spellStart"/>
      <w:r w:rsidR="008E7918" w:rsidRPr="00CD4BA9">
        <w:t>Strathclyde</w:t>
      </w:r>
      <w:proofErr w:type="spellEnd"/>
      <w:r w:rsidR="008E7918" w:rsidRPr="00CD4BA9">
        <w:t xml:space="preserve"> och Trinity College presterar anmärkningsvärt väl. KTH presterar bättre sett till volym än till genomslag. </w:t>
      </w:r>
    </w:p>
    <w:p w:rsidR="00324325" w:rsidRPr="00CD4BA9" w:rsidRDefault="008E7918" w:rsidP="00CD4BA9">
      <w:pPr>
        <w:pStyle w:val="Brdtext"/>
      </w:pPr>
      <w:r w:rsidRPr="00CD4BA9">
        <w:t xml:space="preserve">Jämförelseuniversiteten presterar anmärkningsvärt väl i </w:t>
      </w:r>
      <w:r w:rsidRPr="00C419B7">
        <w:rPr>
          <w:i/>
        </w:rPr>
        <w:t xml:space="preserve">Relationships to support the </w:t>
      </w:r>
      <w:proofErr w:type="spellStart"/>
      <w:r w:rsidRPr="00C419B7">
        <w:rPr>
          <w:i/>
        </w:rPr>
        <w:t>goals</w:t>
      </w:r>
      <w:proofErr w:type="spellEnd"/>
      <w:r w:rsidRPr="00CD4BA9">
        <w:t xml:space="preserve">, där många fick maxpoäng i flera av underindikatorerna. Svagt </w:t>
      </w:r>
      <w:r w:rsidR="0014519E" w:rsidRPr="00CD4BA9">
        <w:t>presterar</w:t>
      </w:r>
      <w:r w:rsidRPr="00CD4BA9">
        <w:t xml:space="preserve"> enda</w:t>
      </w:r>
      <w:r w:rsidR="0014519E">
        <w:t>s</w:t>
      </w:r>
      <w:r w:rsidRPr="00CD4BA9">
        <w:t xml:space="preserve">t </w:t>
      </w:r>
      <w:r w:rsidR="0014519E" w:rsidRPr="00CD4BA9">
        <w:t>École</w:t>
      </w:r>
      <w:r w:rsidR="00FA1030">
        <w:t xml:space="preserve"> Polytechnique och UPC.</w:t>
      </w:r>
      <w:r w:rsidR="0026047D">
        <w:t xml:space="preserve"> </w:t>
      </w:r>
      <w:r w:rsidRPr="00CD4BA9">
        <w:t xml:space="preserve">KTH tappar framför allt inom </w:t>
      </w:r>
      <w:r w:rsidR="001B32B3" w:rsidRPr="00CD4BA9">
        <w:t xml:space="preserve">underindikatorn </w:t>
      </w:r>
      <w:r w:rsidRPr="00C419B7">
        <w:rPr>
          <w:i/>
        </w:rPr>
        <w:t xml:space="preserve">International </w:t>
      </w:r>
      <w:proofErr w:type="spellStart"/>
      <w:r w:rsidR="008F4381" w:rsidRPr="00C419B7">
        <w:rPr>
          <w:i/>
        </w:rPr>
        <w:t>collaboration</w:t>
      </w:r>
      <w:proofErr w:type="spellEnd"/>
      <w:r w:rsidRPr="00C419B7">
        <w:rPr>
          <w:i/>
        </w:rPr>
        <w:t xml:space="preserve"> data for SDG</w:t>
      </w:r>
      <w:r w:rsidRPr="00CD4BA9">
        <w:t>.</w:t>
      </w:r>
    </w:p>
    <w:p w:rsidR="004A1500" w:rsidRPr="00CD4BA9" w:rsidRDefault="00CD4BA9" w:rsidP="00CD4BA9">
      <w:pPr>
        <w:pStyle w:val="Brdtext"/>
      </w:pPr>
      <w:r w:rsidRPr="00CD4BA9">
        <w:t>Särskilt väl inom</w:t>
      </w:r>
      <w:r w:rsidR="008F4381">
        <w:t xml:space="preserve"> indikatorn</w:t>
      </w:r>
      <w:r w:rsidRPr="00CD4BA9">
        <w:t xml:space="preserve"> </w:t>
      </w:r>
      <w:proofErr w:type="spellStart"/>
      <w:r w:rsidRPr="00C419B7">
        <w:rPr>
          <w:i/>
        </w:rPr>
        <w:t>Publication</w:t>
      </w:r>
      <w:proofErr w:type="spellEnd"/>
      <w:r w:rsidRPr="00C419B7">
        <w:rPr>
          <w:i/>
        </w:rPr>
        <w:t xml:space="preserve"> of SDG </w:t>
      </w:r>
      <w:proofErr w:type="spellStart"/>
      <w:r w:rsidRPr="00C419B7">
        <w:rPr>
          <w:i/>
        </w:rPr>
        <w:t>reports</w:t>
      </w:r>
      <w:proofErr w:type="spellEnd"/>
      <w:r w:rsidRPr="00CD4BA9">
        <w:t xml:space="preserve"> presterar Göteborg och Waterloo. KTH får relativt bra värden. </w:t>
      </w:r>
      <w:r w:rsidR="008F4381" w:rsidRPr="00CD4BA9">
        <w:t>École</w:t>
      </w:r>
      <w:r w:rsidRPr="00CD4BA9">
        <w:t xml:space="preserve"> Polytechnique och MIT fick förvånansvärt svaga värden.</w:t>
      </w:r>
    </w:p>
    <w:p w:rsidR="00CD4BA9" w:rsidRDefault="00CD4BA9" w:rsidP="00CD4BA9">
      <w:pPr>
        <w:pStyle w:val="Brdtext"/>
      </w:pPr>
      <w:r w:rsidRPr="00CD4BA9">
        <w:t xml:space="preserve">Samtliga jämförelseuniversitet, med undantag av </w:t>
      </w:r>
      <w:r w:rsidR="0014519E" w:rsidRPr="00CD4BA9">
        <w:t>École</w:t>
      </w:r>
      <w:r w:rsidRPr="00CD4BA9">
        <w:t xml:space="preserve"> Polytechnique, fick mycket höga värden eller maxp</w:t>
      </w:r>
      <w:r w:rsidR="0014519E">
        <w:t>o</w:t>
      </w:r>
      <w:r w:rsidRPr="00CD4BA9">
        <w:t xml:space="preserve">äng (bland annat KTH) inom indikatorn </w:t>
      </w:r>
      <w:proofErr w:type="spellStart"/>
      <w:r w:rsidRPr="00C419B7">
        <w:rPr>
          <w:i/>
        </w:rPr>
        <w:t>Education</w:t>
      </w:r>
      <w:proofErr w:type="spellEnd"/>
      <w:r w:rsidRPr="00C419B7">
        <w:rPr>
          <w:i/>
        </w:rPr>
        <w:t xml:space="preserve"> for the SDGs</w:t>
      </w:r>
      <w:r w:rsidRPr="00CD4BA9">
        <w:t>.</w:t>
      </w:r>
    </w:p>
    <w:p w:rsidR="00F241D2" w:rsidRDefault="00F241D2" w:rsidP="00CD4BA9">
      <w:pPr>
        <w:pStyle w:val="Brdtext"/>
      </w:pPr>
    </w:p>
    <w:p w:rsidR="00F241D2" w:rsidRPr="00F241D2" w:rsidRDefault="009476EE" w:rsidP="009476EE">
      <w:pPr>
        <w:pStyle w:val="Rubrik3"/>
      </w:pPr>
      <w:bookmarkStart w:id="15" w:name="_Toc63236567"/>
      <w:r>
        <w:t>KTH:</w:t>
      </w:r>
      <w:r w:rsidR="00F241D2">
        <w:t>s styrkor och svagheter</w:t>
      </w:r>
      <w:bookmarkEnd w:id="15"/>
    </w:p>
    <w:p w:rsidR="00C4684B" w:rsidRDefault="00C4684B" w:rsidP="00C4684B">
      <w:pPr>
        <w:pStyle w:val="Brdtext"/>
      </w:pPr>
      <w:r>
        <w:t>KTH fick bäst värden sett till nedanstående globala mål i jämförelse med de jämförelseuniversitet som ingår i den totala rankningen:</w:t>
      </w:r>
    </w:p>
    <w:tbl>
      <w:tblPr>
        <w:tblStyle w:val="Tabellrutnt"/>
        <w:tblW w:w="8995" w:type="dxa"/>
        <w:tblLook w:val="04A0" w:firstRow="1" w:lastRow="0" w:firstColumn="1" w:lastColumn="0" w:noHBand="0" w:noVBand="1"/>
      </w:tblPr>
      <w:tblGrid>
        <w:gridCol w:w="1457"/>
        <w:gridCol w:w="692"/>
        <w:gridCol w:w="692"/>
        <w:gridCol w:w="692"/>
        <w:gridCol w:w="692"/>
        <w:gridCol w:w="691"/>
        <w:gridCol w:w="691"/>
        <w:gridCol w:w="691"/>
        <w:gridCol w:w="691"/>
        <w:gridCol w:w="691"/>
        <w:gridCol w:w="691"/>
        <w:gridCol w:w="691"/>
      </w:tblGrid>
      <w:tr w:rsidR="001D382A" w:rsidTr="001D382A">
        <w:trPr>
          <w:cantSplit/>
          <w:trHeight w:val="2494"/>
        </w:trPr>
        <w:tc>
          <w:tcPr>
            <w:tcW w:w="1457" w:type="dxa"/>
            <w:textDirection w:val="tbRl"/>
            <w:vAlign w:val="bottom"/>
          </w:tcPr>
          <w:p w:rsidR="001D382A" w:rsidRPr="004D4EF2" w:rsidRDefault="001D382A" w:rsidP="001D382A">
            <w:pPr>
              <w:pStyle w:val="Brdtext"/>
              <w:ind w:left="113" w:right="113"/>
              <w:rPr>
                <w:b/>
                <w:sz w:val="20"/>
              </w:rPr>
            </w:pPr>
            <w:r w:rsidRPr="004D4EF2">
              <w:rPr>
                <w:b/>
                <w:sz w:val="20"/>
              </w:rPr>
              <w:t>KTH</w:t>
            </w:r>
          </w:p>
        </w:tc>
        <w:tc>
          <w:tcPr>
            <w:tcW w:w="692" w:type="dxa"/>
            <w:textDirection w:val="tbRl"/>
            <w:vAlign w:val="bottom"/>
          </w:tcPr>
          <w:p w:rsidR="001D382A" w:rsidRPr="004D4EF2" w:rsidRDefault="001D382A" w:rsidP="001D382A">
            <w:pPr>
              <w:pStyle w:val="Brdtext"/>
              <w:ind w:left="113" w:right="113"/>
              <w:rPr>
                <w:b/>
                <w:sz w:val="20"/>
              </w:rPr>
            </w:pPr>
            <w:r w:rsidRPr="004D4EF2">
              <w:rPr>
                <w:b/>
                <w:sz w:val="20"/>
              </w:rPr>
              <w:t>MIT</w:t>
            </w:r>
          </w:p>
        </w:tc>
        <w:tc>
          <w:tcPr>
            <w:tcW w:w="692" w:type="dxa"/>
            <w:textDirection w:val="tbRl"/>
            <w:vAlign w:val="bottom"/>
          </w:tcPr>
          <w:p w:rsidR="001D382A" w:rsidRPr="004D4EF2" w:rsidRDefault="001D382A" w:rsidP="001D382A">
            <w:pPr>
              <w:pStyle w:val="Brdtext"/>
              <w:ind w:left="113" w:right="113"/>
              <w:rPr>
                <w:b/>
                <w:sz w:val="20"/>
              </w:rPr>
            </w:pPr>
            <w:r w:rsidRPr="004D4EF2">
              <w:rPr>
                <w:b/>
                <w:sz w:val="20"/>
              </w:rPr>
              <w:t>Auckland University of Technology</w:t>
            </w:r>
          </w:p>
        </w:tc>
        <w:tc>
          <w:tcPr>
            <w:tcW w:w="692" w:type="dxa"/>
            <w:textDirection w:val="tbRl"/>
            <w:vAlign w:val="bottom"/>
          </w:tcPr>
          <w:p w:rsidR="001D382A" w:rsidRPr="004D4EF2" w:rsidRDefault="001D382A" w:rsidP="001D382A">
            <w:pPr>
              <w:pStyle w:val="Brdtext"/>
              <w:ind w:left="113" w:right="113"/>
              <w:rPr>
                <w:b/>
                <w:sz w:val="20"/>
              </w:rPr>
            </w:pPr>
            <w:r w:rsidRPr="004D4EF2">
              <w:rPr>
                <w:b/>
                <w:sz w:val="20"/>
              </w:rPr>
              <w:t>Göteborg</w:t>
            </w:r>
          </w:p>
        </w:tc>
        <w:tc>
          <w:tcPr>
            <w:tcW w:w="692" w:type="dxa"/>
            <w:textDirection w:val="tbRl"/>
            <w:vAlign w:val="bottom"/>
          </w:tcPr>
          <w:p w:rsidR="001D382A" w:rsidRPr="004D4EF2" w:rsidRDefault="001D382A" w:rsidP="001D382A">
            <w:pPr>
              <w:pStyle w:val="Brdtext"/>
              <w:ind w:left="113" w:right="113"/>
              <w:rPr>
                <w:b/>
                <w:sz w:val="20"/>
              </w:rPr>
            </w:pPr>
            <w:r w:rsidRPr="004D4EF2">
              <w:rPr>
                <w:b/>
                <w:sz w:val="20"/>
              </w:rPr>
              <w:t>Aalto</w:t>
            </w:r>
          </w:p>
        </w:tc>
        <w:tc>
          <w:tcPr>
            <w:tcW w:w="691" w:type="dxa"/>
            <w:textDirection w:val="tbRl"/>
            <w:vAlign w:val="bottom"/>
          </w:tcPr>
          <w:p w:rsidR="001D382A" w:rsidRPr="004D4EF2" w:rsidRDefault="001D382A" w:rsidP="001D382A">
            <w:pPr>
              <w:pStyle w:val="Brdtext"/>
              <w:ind w:left="113" w:right="113"/>
              <w:rPr>
                <w:b/>
                <w:sz w:val="20"/>
              </w:rPr>
            </w:pPr>
            <w:r w:rsidRPr="004D4EF2">
              <w:rPr>
                <w:b/>
                <w:sz w:val="20"/>
              </w:rPr>
              <w:t>Ålborg</w:t>
            </w:r>
          </w:p>
        </w:tc>
        <w:tc>
          <w:tcPr>
            <w:tcW w:w="624" w:type="dxa"/>
            <w:textDirection w:val="tbRl"/>
            <w:vAlign w:val="bottom"/>
          </w:tcPr>
          <w:p w:rsidR="001D382A" w:rsidRPr="004D4EF2" w:rsidRDefault="001D382A" w:rsidP="001D382A">
            <w:pPr>
              <w:pStyle w:val="Brdtext"/>
              <w:ind w:left="113" w:right="113"/>
              <w:rPr>
                <w:b/>
                <w:sz w:val="20"/>
              </w:rPr>
            </w:pPr>
            <w:r w:rsidRPr="004D4EF2">
              <w:rPr>
                <w:b/>
                <w:sz w:val="20"/>
              </w:rPr>
              <w:t>Waterloo</w:t>
            </w:r>
          </w:p>
        </w:tc>
        <w:tc>
          <w:tcPr>
            <w:tcW w:w="691" w:type="dxa"/>
            <w:textDirection w:val="tbRl"/>
            <w:vAlign w:val="bottom"/>
          </w:tcPr>
          <w:p w:rsidR="001D382A" w:rsidRPr="004D4EF2" w:rsidRDefault="001D382A" w:rsidP="001D382A">
            <w:pPr>
              <w:pStyle w:val="Brdtext"/>
              <w:ind w:left="113" w:right="113"/>
              <w:rPr>
                <w:b/>
                <w:sz w:val="20"/>
              </w:rPr>
            </w:pPr>
            <w:proofErr w:type="spellStart"/>
            <w:r>
              <w:rPr>
                <w:b/>
                <w:sz w:val="20"/>
              </w:rPr>
              <w:t>Strathclyde</w:t>
            </w:r>
            <w:proofErr w:type="spellEnd"/>
          </w:p>
        </w:tc>
        <w:tc>
          <w:tcPr>
            <w:tcW w:w="691" w:type="dxa"/>
            <w:textDirection w:val="tbRl"/>
          </w:tcPr>
          <w:p w:rsidR="001D382A" w:rsidRDefault="001D382A" w:rsidP="001D382A">
            <w:pPr>
              <w:pStyle w:val="Brdtext"/>
              <w:ind w:left="113" w:right="113"/>
              <w:rPr>
                <w:b/>
                <w:sz w:val="20"/>
              </w:rPr>
            </w:pPr>
            <w:r>
              <w:rPr>
                <w:b/>
                <w:sz w:val="20"/>
              </w:rPr>
              <w:t>Trinity College</w:t>
            </w:r>
          </w:p>
        </w:tc>
        <w:tc>
          <w:tcPr>
            <w:tcW w:w="691" w:type="dxa"/>
            <w:textDirection w:val="tbRl"/>
          </w:tcPr>
          <w:p w:rsidR="001D382A" w:rsidRDefault="001D382A" w:rsidP="001D382A">
            <w:pPr>
              <w:pStyle w:val="Brdtext"/>
              <w:ind w:left="113" w:right="113"/>
              <w:rPr>
                <w:b/>
                <w:sz w:val="20"/>
              </w:rPr>
            </w:pPr>
            <w:r>
              <w:rPr>
                <w:b/>
                <w:sz w:val="20"/>
              </w:rPr>
              <w:t>UPC</w:t>
            </w:r>
          </w:p>
        </w:tc>
        <w:tc>
          <w:tcPr>
            <w:tcW w:w="691" w:type="dxa"/>
            <w:textDirection w:val="tbRl"/>
          </w:tcPr>
          <w:p w:rsidR="001D382A" w:rsidRDefault="001D382A" w:rsidP="001D382A">
            <w:pPr>
              <w:pStyle w:val="Brdtext"/>
              <w:ind w:left="113" w:right="113"/>
              <w:rPr>
                <w:b/>
                <w:sz w:val="20"/>
              </w:rPr>
            </w:pPr>
            <w:r>
              <w:rPr>
                <w:b/>
                <w:sz w:val="20"/>
              </w:rPr>
              <w:t>Queensland University of Technology</w:t>
            </w:r>
          </w:p>
        </w:tc>
        <w:tc>
          <w:tcPr>
            <w:tcW w:w="691" w:type="dxa"/>
            <w:textDirection w:val="tbRl"/>
          </w:tcPr>
          <w:p w:rsidR="001D382A" w:rsidRDefault="0098622E" w:rsidP="001D382A">
            <w:pPr>
              <w:pStyle w:val="Brdtext"/>
              <w:ind w:left="113" w:right="113"/>
              <w:rPr>
                <w:b/>
                <w:sz w:val="20"/>
              </w:rPr>
            </w:pPr>
            <w:r>
              <w:rPr>
                <w:b/>
                <w:sz w:val="20"/>
              </w:rPr>
              <w:t>École</w:t>
            </w:r>
            <w:r w:rsidR="001D382A">
              <w:rPr>
                <w:b/>
                <w:sz w:val="20"/>
              </w:rPr>
              <w:t xml:space="preserve"> Polytechnique</w:t>
            </w:r>
          </w:p>
        </w:tc>
      </w:tr>
      <w:tr w:rsidR="001D382A" w:rsidTr="001D382A">
        <w:tc>
          <w:tcPr>
            <w:tcW w:w="1457" w:type="dxa"/>
          </w:tcPr>
          <w:p w:rsidR="001D382A" w:rsidRDefault="001D382A" w:rsidP="001D382A">
            <w:pPr>
              <w:pStyle w:val="Brdtext"/>
            </w:pPr>
            <w:r>
              <w:t xml:space="preserve">Total Rank: </w:t>
            </w:r>
            <w:r w:rsidRPr="002E04C9">
              <w:rPr>
                <w:b/>
              </w:rPr>
              <w:t>77</w:t>
            </w:r>
          </w:p>
        </w:tc>
        <w:tc>
          <w:tcPr>
            <w:tcW w:w="692" w:type="dxa"/>
          </w:tcPr>
          <w:p w:rsidR="001D382A" w:rsidRDefault="001D382A" w:rsidP="001D382A">
            <w:pPr>
              <w:pStyle w:val="Brdtext"/>
            </w:pPr>
            <w:r>
              <w:t>101-200</w:t>
            </w:r>
          </w:p>
        </w:tc>
        <w:tc>
          <w:tcPr>
            <w:tcW w:w="692" w:type="dxa"/>
          </w:tcPr>
          <w:p w:rsidR="001D382A" w:rsidRDefault="001D382A" w:rsidP="001D382A">
            <w:pPr>
              <w:pStyle w:val="Brdtext"/>
            </w:pPr>
            <w:r>
              <w:t>23</w:t>
            </w:r>
          </w:p>
        </w:tc>
        <w:tc>
          <w:tcPr>
            <w:tcW w:w="692" w:type="dxa"/>
          </w:tcPr>
          <w:p w:rsidR="001D382A" w:rsidRDefault="001D382A" w:rsidP="001D382A">
            <w:pPr>
              <w:pStyle w:val="Brdtext"/>
            </w:pPr>
            <w:r>
              <w:t>45</w:t>
            </w:r>
          </w:p>
        </w:tc>
        <w:tc>
          <w:tcPr>
            <w:tcW w:w="692" w:type="dxa"/>
          </w:tcPr>
          <w:p w:rsidR="001D382A" w:rsidRDefault="001D382A" w:rsidP="001D382A">
            <w:pPr>
              <w:pStyle w:val="Brdtext"/>
            </w:pPr>
            <w:r>
              <w:t>47</w:t>
            </w:r>
          </w:p>
        </w:tc>
        <w:tc>
          <w:tcPr>
            <w:tcW w:w="691" w:type="dxa"/>
          </w:tcPr>
          <w:p w:rsidR="001D382A" w:rsidRDefault="001D382A" w:rsidP="001D382A">
            <w:pPr>
              <w:pStyle w:val="Brdtext"/>
            </w:pPr>
            <w:r>
              <w:t>23</w:t>
            </w:r>
          </w:p>
        </w:tc>
        <w:tc>
          <w:tcPr>
            <w:tcW w:w="624" w:type="dxa"/>
          </w:tcPr>
          <w:p w:rsidR="001D382A" w:rsidRDefault="001D382A" w:rsidP="001D382A">
            <w:pPr>
              <w:pStyle w:val="Brdtext"/>
            </w:pPr>
            <w:r>
              <w:t>16</w:t>
            </w:r>
          </w:p>
        </w:tc>
        <w:tc>
          <w:tcPr>
            <w:tcW w:w="691" w:type="dxa"/>
          </w:tcPr>
          <w:p w:rsidR="001D382A" w:rsidRDefault="001D382A" w:rsidP="001D382A">
            <w:pPr>
              <w:pStyle w:val="Brdtext"/>
            </w:pPr>
            <w:r>
              <w:t>70</w:t>
            </w:r>
          </w:p>
        </w:tc>
        <w:tc>
          <w:tcPr>
            <w:tcW w:w="691" w:type="dxa"/>
          </w:tcPr>
          <w:p w:rsidR="001D382A" w:rsidRDefault="001D382A" w:rsidP="001D382A">
            <w:pPr>
              <w:pStyle w:val="Brdtext"/>
            </w:pPr>
            <w:r>
              <w:t>14</w:t>
            </w:r>
          </w:p>
        </w:tc>
        <w:tc>
          <w:tcPr>
            <w:tcW w:w="691" w:type="dxa"/>
          </w:tcPr>
          <w:p w:rsidR="001D382A" w:rsidRDefault="001D382A" w:rsidP="001D382A">
            <w:pPr>
              <w:pStyle w:val="Brdtext"/>
            </w:pPr>
            <w:r>
              <w:t>201-300</w:t>
            </w:r>
          </w:p>
        </w:tc>
        <w:tc>
          <w:tcPr>
            <w:tcW w:w="691" w:type="dxa"/>
          </w:tcPr>
          <w:p w:rsidR="001D382A" w:rsidRDefault="001D382A" w:rsidP="001D382A">
            <w:pPr>
              <w:pStyle w:val="Brdtext"/>
            </w:pPr>
            <w:r>
              <w:t>70</w:t>
            </w:r>
          </w:p>
        </w:tc>
        <w:tc>
          <w:tcPr>
            <w:tcW w:w="691" w:type="dxa"/>
          </w:tcPr>
          <w:p w:rsidR="001D382A" w:rsidRDefault="001D382A" w:rsidP="001D382A">
            <w:pPr>
              <w:pStyle w:val="Brdtext"/>
            </w:pPr>
            <w:r>
              <w:t>201-300</w:t>
            </w:r>
          </w:p>
        </w:tc>
      </w:tr>
      <w:tr w:rsidR="001D382A" w:rsidRPr="002E6DD4" w:rsidTr="001D382A">
        <w:tc>
          <w:tcPr>
            <w:tcW w:w="1457" w:type="dxa"/>
          </w:tcPr>
          <w:p w:rsidR="001D382A" w:rsidRPr="002E6DD4" w:rsidRDefault="001D382A" w:rsidP="001D382A">
            <w:pPr>
              <w:pStyle w:val="Brdtext"/>
              <w:rPr>
                <w:lang w:val="en-US"/>
              </w:rPr>
            </w:pPr>
            <w:r>
              <w:rPr>
                <w:lang w:val="en-US"/>
              </w:rPr>
              <w:t>SDG</w:t>
            </w:r>
            <w:r w:rsidR="00DF093A">
              <w:rPr>
                <w:lang w:val="en-US"/>
              </w:rPr>
              <w:t xml:space="preserve"> </w:t>
            </w:r>
            <w:r>
              <w:rPr>
                <w:lang w:val="en-US"/>
              </w:rPr>
              <w:t xml:space="preserve">7 </w:t>
            </w:r>
            <w:r w:rsidRPr="002E6DD4">
              <w:rPr>
                <w:lang w:val="en-US"/>
              </w:rPr>
              <w:t>Affordable and Clean Energy</w:t>
            </w:r>
            <w:r>
              <w:rPr>
                <w:lang w:val="en-US"/>
              </w:rPr>
              <w:t xml:space="preserve"> rank: </w:t>
            </w:r>
            <w:r w:rsidRPr="002E04C9">
              <w:rPr>
                <w:b/>
                <w:lang w:val="en-US"/>
              </w:rPr>
              <w:t>52</w:t>
            </w:r>
          </w:p>
        </w:tc>
        <w:tc>
          <w:tcPr>
            <w:tcW w:w="692" w:type="dxa"/>
          </w:tcPr>
          <w:p w:rsidR="001D382A" w:rsidRPr="002E6DD4" w:rsidRDefault="001D382A" w:rsidP="001D382A">
            <w:pPr>
              <w:pStyle w:val="Brdtext"/>
              <w:rPr>
                <w:lang w:val="en-US"/>
              </w:rPr>
            </w:pPr>
            <w:r>
              <w:rPr>
                <w:lang w:val="en-US"/>
              </w:rPr>
              <w:t>61</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101-200</w:t>
            </w:r>
          </w:p>
        </w:tc>
        <w:tc>
          <w:tcPr>
            <w:tcW w:w="691" w:type="dxa"/>
          </w:tcPr>
          <w:p w:rsidR="001D382A" w:rsidRPr="002E6DD4" w:rsidRDefault="001D382A" w:rsidP="001D382A">
            <w:pPr>
              <w:pStyle w:val="Brdtext"/>
              <w:rPr>
                <w:lang w:val="en-US"/>
              </w:rPr>
            </w:pPr>
            <w:r>
              <w:rPr>
                <w:lang w:val="en-US"/>
              </w:rPr>
              <w:t>10</w:t>
            </w:r>
          </w:p>
        </w:tc>
        <w:tc>
          <w:tcPr>
            <w:tcW w:w="624" w:type="dxa"/>
          </w:tcPr>
          <w:p w:rsidR="001D382A" w:rsidRPr="002E6DD4" w:rsidRDefault="001D382A" w:rsidP="001D382A">
            <w:pPr>
              <w:pStyle w:val="Brdtext"/>
              <w:rPr>
                <w:lang w:val="en-US"/>
              </w:rPr>
            </w:pPr>
            <w:r>
              <w:rPr>
                <w:lang w:val="en-US"/>
              </w:rPr>
              <w:t>93</w:t>
            </w:r>
          </w:p>
        </w:tc>
        <w:tc>
          <w:tcPr>
            <w:tcW w:w="691" w:type="dxa"/>
          </w:tcPr>
          <w:p w:rsidR="001D382A" w:rsidRDefault="001D382A" w:rsidP="001D382A">
            <w:pPr>
              <w:pStyle w:val="Brdtext"/>
              <w:rPr>
                <w:lang w:val="en-US"/>
              </w:rPr>
            </w:pPr>
            <w:r>
              <w:rPr>
                <w:lang w:val="en-US"/>
              </w:rPr>
              <w:t>54</w:t>
            </w:r>
          </w:p>
        </w:tc>
        <w:tc>
          <w:tcPr>
            <w:tcW w:w="691" w:type="dxa"/>
          </w:tcPr>
          <w:p w:rsidR="001D382A" w:rsidRDefault="001D382A" w:rsidP="001D382A">
            <w:pPr>
              <w:pStyle w:val="Brdtext"/>
              <w:rPr>
                <w:lang w:val="en-US"/>
              </w:rPr>
            </w:pPr>
            <w:r>
              <w:rPr>
                <w:lang w:val="en-US"/>
              </w:rPr>
              <w:t>26</w:t>
            </w:r>
          </w:p>
        </w:tc>
        <w:tc>
          <w:tcPr>
            <w:tcW w:w="691" w:type="dxa"/>
          </w:tcPr>
          <w:p w:rsidR="001D382A" w:rsidRDefault="001D382A" w:rsidP="001D382A">
            <w:pPr>
              <w:pStyle w:val="Brdtext"/>
              <w:rPr>
                <w:lang w:val="en-US"/>
              </w:rPr>
            </w:pPr>
            <w:r>
              <w:rPr>
                <w:lang w:val="en-US"/>
              </w:rPr>
              <w:t>27</w:t>
            </w:r>
          </w:p>
        </w:tc>
        <w:tc>
          <w:tcPr>
            <w:tcW w:w="691" w:type="dxa"/>
          </w:tcPr>
          <w:p w:rsidR="001D382A" w:rsidRDefault="001D382A" w:rsidP="001D382A">
            <w:pPr>
              <w:pStyle w:val="Brdtext"/>
              <w:rPr>
                <w:lang w:val="en-US"/>
              </w:rPr>
            </w:pPr>
            <w:r>
              <w:rPr>
                <w:lang w:val="en-US"/>
              </w:rPr>
              <w:t>65</w:t>
            </w:r>
          </w:p>
        </w:tc>
        <w:tc>
          <w:tcPr>
            <w:tcW w:w="691" w:type="dxa"/>
          </w:tcPr>
          <w:p w:rsidR="001D382A" w:rsidRDefault="001D382A" w:rsidP="001D382A">
            <w:pPr>
              <w:pStyle w:val="Brdtext"/>
              <w:rPr>
                <w:lang w:val="en-US"/>
              </w:rPr>
            </w:pPr>
            <w:r>
              <w:rPr>
                <w:lang w:val="en-US"/>
              </w:rPr>
              <w:t>…</w:t>
            </w:r>
          </w:p>
        </w:tc>
      </w:tr>
      <w:tr w:rsidR="001D382A" w:rsidRPr="002E6DD4" w:rsidTr="001D382A">
        <w:tc>
          <w:tcPr>
            <w:tcW w:w="1457" w:type="dxa"/>
          </w:tcPr>
          <w:p w:rsidR="001D382A" w:rsidRPr="002E6DD4" w:rsidRDefault="001D382A" w:rsidP="001D382A">
            <w:pPr>
              <w:pStyle w:val="Brdtext"/>
              <w:rPr>
                <w:lang w:val="en-US"/>
              </w:rPr>
            </w:pPr>
            <w:r>
              <w:rPr>
                <w:lang w:val="en-US"/>
              </w:rPr>
              <w:t>SDG</w:t>
            </w:r>
            <w:r w:rsidR="00DF093A">
              <w:rPr>
                <w:lang w:val="en-US"/>
              </w:rPr>
              <w:t xml:space="preserve"> </w:t>
            </w:r>
            <w:r>
              <w:rPr>
                <w:lang w:val="en-US"/>
              </w:rPr>
              <w:t xml:space="preserve">8 Decent Work and Economic Growth rank: </w:t>
            </w:r>
            <w:r w:rsidRPr="002E04C9">
              <w:rPr>
                <w:b/>
                <w:lang w:val="en-US"/>
              </w:rPr>
              <w:t>91</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1</w:t>
            </w:r>
          </w:p>
        </w:tc>
        <w:tc>
          <w:tcPr>
            <w:tcW w:w="692" w:type="dxa"/>
          </w:tcPr>
          <w:p w:rsidR="001D382A" w:rsidRPr="002E6DD4" w:rsidRDefault="001D382A" w:rsidP="001D382A">
            <w:pPr>
              <w:pStyle w:val="Brdtext"/>
              <w:rPr>
                <w:lang w:val="en-US"/>
              </w:rPr>
            </w:pPr>
            <w:r>
              <w:rPr>
                <w:lang w:val="en-US"/>
              </w:rPr>
              <w:t>19</w:t>
            </w:r>
          </w:p>
        </w:tc>
        <w:tc>
          <w:tcPr>
            <w:tcW w:w="692" w:type="dxa"/>
          </w:tcPr>
          <w:p w:rsidR="001D382A" w:rsidRPr="002E6DD4" w:rsidRDefault="001D382A" w:rsidP="001D382A">
            <w:pPr>
              <w:pStyle w:val="Brdtext"/>
              <w:rPr>
                <w:lang w:val="en-US"/>
              </w:rPr>
            </w:pPr>
            <w:r>
              <w:rPr>
                <w:lang w:val="en-US"/>
              </w:rPr>
              <w:t>101-200</w:t>
            </w:r>
          </w:p>
        </w:tc>
        <w:tc>
          <w:tcPr>
            <w:tcW w:w="691" w:type="dxa"/>
          </w:tcPr>
          <w:p w:rsidR="001D382A" w:rsidRPr="002E6DD4" w:rsidRDefault="001D382A" w:rsidP="001D382A">
            <w:pPr>
              <w:pStyle w:val="Brdtext"/>
              <w:rPr>
                <w:lang w:val="en-US"/>
              </w:rPr>
            </w:pPr>
            <w:r>
              <w:rPr>
                <w:lang w:val="en-US"/>
              </w:rPr>
              <w:t>101-200</w:t>
            </w:r>
          </w:p>
        </w:tc>
        <w:tc>
          <w:tcPr>
            <w:tcW w:w="624" w:type="dxa"/>
          </w:tcPr>
          <w:p w:rsidR="001D382A" w:rsidRPr="002E6DD4" w:rsidRDefault="001D382A" w:rsidP="001D382A">
            <w:pPr>
              <w:pStyle w:val="Brdtext"/>
              <w:rPr>
                <w:lang w:val="en-US"/>
              </w:rPr>
            </w:pPr>
            <w:r>
              <w:rPr>
                <w:lang w:val="en-US"/>
              </w:rPr>
              <w:t>15</w:t>
            </w:r>
          </w:p>
        </w:tc>
        <w:tc>
          <w:tcPr>
            <w:tcW w:w="691" w:type="dxa"/>
          </w:tcPr>
          <w:p w:rsidR="001D382A" w:rsidRPr="002E6DD4" w:rsidRDefault="001D382A" w:rsidP="001D382A">
            <w:pPr>
              <w:pStyle w:val="Brdtext"/>
              <w:rPr>
                <w:lang w:val="en-US"/>
              </w:rPr>
            </w:pPr>
            <w:r>
              <w:rPr>
                <w:lang w:val="en-US"/>
              </w:rPr>
              <w:t>20</w:t>
            </w:r>
          </w:p>
        </w:tc>
        <w:tc>
          <w:tcPr>
            <w:tcW w:w="691" w:type="dxa"/>
          </w:tcPr>
          <w:p w:rsidR="001D382A" w:rsidRDefault="001D382A" w:rsidP="001D382A">
            <w:pPr>
              <w:pStyle w:val="Brdtext"/>
              <w:rPr>
                <w:lang w:val="en-US"/>
              </w:rPr>
            </w:pPr>
            <w:r>
              <w:rPr>
                <w:lang w:val="en-US"/>
              </w:rPr>
              <w:t>98</w:t>
            </w:r>
          </w:p>
        </w:tc>
        <w:tc>
          <w:tcPr>
            <w:tcW w:w="691" w:type="dxa"/>
          </w:tcPr>
          <w:p w:rsidR="001D382A" w:rsidRDefault="001D382A" w:rsidP="001D382A">
            <w:pPr>
              <w:pStyle w:val="Brdtext"/>
              <w:rPr>
                <w:lang w:val="en-US"/>
              </w:rPr>
            </w:pPr>
            <w:r>
              <w:rPr>
                <w:lang w:val="en-US"/>
              </w:rPr>
              <w:t>100-200</w:t>
            </w:r>
          </w:p>
        </w:tc>
        <w:tc>
          <w:tcPr>
            <w:tcW w:w="691" w:type="dxa"/>
          </w:tcPr>
          <w:p w:rsidR="001D382A" w:rsidRDefault="001D382A" w:rsidP="001D382A">
            <w:pPr>
              <w:pStyle w:val="Brdtext"/>
              <w:rPr>
                <w:lang w:val="en-US"/>
              </w:rPr>
            </w:pPr>
            <w:r>
              <w:rPr>
                <w:lang w:val="en-US"/>
              </w:rPr>
              <w:t>101-200</w:t>
            </w:r>
          </w:p>
        </w:tc>
        <w:tc>
          <w:tcPr>
            <w:tcW w:w="691" w:type="dxa"/>
          </w:tcPr>
          <w:p w:rsidR="001D382A" w:rsidRDefault="001D382A" w:rsidP="001D382A">
            <w:pPr>
              <w:pStyle w:val="Brdtext"/>
              <w:rPr>
                <w:lang w:val="en-US"/>
              </w:rPr>
            </w:pPr>
            <w:r>
              <w:rPr>
                <w:lang w:val="en-US"/>
              </w:rPr>
              <w:t>38</w:t>
            </w:r>
          </w:p>
        </w:tc>
      </w:tr>
      <w:tr w:rsidR="001D382A" w:rsidRPr="002E6DD4" w:rsidTr="001D382A">
        <w:tc>
          <w:tcPr>
            <w:tcW w:w="1457" w:type="dxa"/>
          </w:tcPr>
          <w:p w:rsidR="001D382A" w:rsidRPr="002E6DD4" w:rsidRDefault="001D382A" w:rsidP="001D382A">
            <w:pPr>
              <w:pStyle w:val="Brdtext"/>
              <w:rPr>
                <w:lang w:val="en-US"/>
              </w:rPr>
            </w:pPr>
            <w:r>
              <w:rPr>
                <w:lang w:val="en-US"/>
              </w:rPr>
              <w:t>SDG</w:t>
            </w:r>
            <w:r w:rsidR="00DF093A">
              <w:rPr>
                <w:lang w:val="en-US"/>
              </w:rPr>
              <w:t xml:space="preserve"> </w:t>
            </w:r>
            <w:r>
              <w:rPr>
                <w:lang w:val="en-US"/>
              </w:rPr>
              <w:t>11</w:t>
            </w:r>
            <w:r w:rsidRPr="002E6DD4">
              <w:rPr>
                <w:lang w:val="en-US"/>
              </w:rPr>
              <w:t xml:space="preserve"> Sustainable </w:t>
            </w:r>
            <w:r>
              <w:rPr>
                <w:lang w:val="en-US"/>
              </w:rPr>
              <w:t xml:space="preserve">Cities and Communities rank: </w:t>
            </w:r>
            <w:r w:rsidRPr="002E04C9">
              <w:rPr>
                <w:b/>
                <w:lang w:val="en-US"/>
              </w:rPr>
              <w:t>55</w:t>
            </w:r>
          </w:p>
        </w:tc>
        <w:tc>
          <w:tcPr>
            <w:tcW w:w="692" w:type="dxa"/>
          </w:tcPr>
          <w:p w:rsidR="001D382A" w:rsidRPr="002E6DD4" w:rsidRDefault="001D382A" w:rsidP="001D382A">
            <w:pPr>
              <w:pStyle w:val="Brdtext"/>
              <w:rPr>
                <w:lang w:val="en-US"/>
              </w:rPr>
            </w:pPr>
            <w:r>
              <w:rPr>
                <w:lang w:val="en-US"/>
              </w:rPr>
              <w:t>60</w:t>
            </w:r>
          </w:p>
        </w:tc>
        <w:tc>
          <w:tcPr>
            <w:tcW w:w="692" w:type="dxa"/>
          </w:tcPr>
          <w:p w:rsidR="001D382A" w:rsidRPr="002E6DD4" w:rsidRDefault="001D382A" w:rsidP="001D382A">
            <w:pPr>
              <w:pStyle w:val="Brdtext"/>
              <w:rPr>
                <w:lang w:val="en-US"/>
              </w:rPr>
            </w:pPr>
            <w:r>
              <w:rPr>
                <w:lang w:val="en-US"/>
              </w:rPr>
              <w:t>20</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77</w:t>
            </w:r>
          </w:p>
        </w:tc>
        <w:tc>
          <w:tcPr>
            <w:tcW w:w="691" w:type="dxa"/>
          </w:tcPr>
          <w:p w:rsidR="001D382A" w:rsidRPr="002E6DD4" w:rsidRDefault="001D382A" w:rsidP="001D382A">
            <w:pPr>
              <w:pStyle w:val="Brdtext"/>
              <w:rPr>
                <w:lang w:val="en-US"/>
              </w:rPr>
            </w:pPr>
            <w:r>
              <w:rPr>
                <w:lang w:val="en-US"/>
              </w:rPr>
              <w:t>…</w:t>
            </w:r>
          </w:p>
        </w:tc>
        <w:tc>
          <w:tcPr>
            <w:tcW w:w="624" w:type="dxa"/>
          </w:tcPr>
          <w:p w:rsidR="001D382A" w:rsidRPr="002E6DD4" w:rsidRDefault="001D382A" w:rsidP="001D382A">
            <w:pPr>
              <w:pStyle w:val="Brdtext"/>
              <w:rPr>
                <w:lang w:val="en-US"/>
              </w:rPr>
            </w:pPr>
            <w:r>
              <w:rPr>
                <w:lang w:val="en-US"/>
              </w:rPr>
              <w:t>20</w:t>
            </w:r>
          </w:p>
        </w:tc>
        <w:tc>
          <w:tcPr>
            <w:tcW w:w="691" w:type="dxa"/>
          </w:tcPr>
          <w:p w:rsidR="001D382A" w:rsidRPr="002E6DD4" w:rsidRDefault="001D382A" w:rsidP="001D382A">
            <w:pPr>
              <w:pStyle w:val="Brdtext"/>
              <w:rPr>
                <w:lang w:val="en-US"/>
              </w:rPr>
            </w:pPr>
            <w:r>
              <w:rPr>
                <w:lang w:val="en-US"/>
              </w:rPr>
              <w:t>41</w:t>
            </w:r>
          </w:p>
        </w:tc>
        <w:tc>
          <w:tcPr>
            <w:tcW w:w="691" w:type="dxa"/>
          </w:tcPr>
          <w:p w:rsidR="001D382A" w:rsidRDefault="001D382A" w:rsidP="001D382A">
            <w:pPr>
              <w:pStyle w:val="Brdtext"/>
              <w:rPr>
                <w:lang w:val="en-US"/>
              </w:rPr>
            </w:pPr>
            <w:r>
              <w:rPr>
                <w:lang w:val="en-US"/>
              </w:rPr>
              <w:t>98</w:t>
            </w:r>
          </w:p>
        </w:tc>
        <w:tc>
          <w:tcPr>
            <w:tcW w:w="691" w:type="dxa"/>
          </w:tcPr>
          <w:p w:rsidR="001D382A" w:rsidRDefault="001D382A" w:rsidP="001D382A">
            <w:pPr>
              <w:pStyle w:val="Brdtext"/>
              <w:rPr>
                <w:lang w:val="en-US"/>
              </w:rPr>
            </w:pPr>
            <w:r>
              <w:rPr>
                <w:lang w:val="en-US"/>
              </w:rPr>
              <w:t>101-200</w:t>
            </w:r>
          </w:p>
        </w:tc>
        <w:tc>
          <w:tcPr>
            <w:tcW w:w="691" w:type="dxa"/>
          </w:tcPr>
          <w:p w:rsidR="001D382A" w:rsidRDefault="001D382A" w:rsidP="001D382A">
            <w:pPr>
              <w:pStyle w:val="Brdtext"/>
              <w:rPr>
                <w:lang w:val="en-US"/>
              </w:rPr>
            </w:pPr>
            <w:r>
              <w:rPr>
                <w:lang w:val="en-US"/>
              </w:rPr>
              <w:t>101-200</w:t>
            </w:r>
          </w:p>
        </w:tc>
        <w:tc>
          <w:tcPr>
            <w:tcW w:w="691" w:type="dxa"/>
          </w:tcPr>
          <w:p w:rsidR="001D382A" w:rsidRDefault="001D382A" w:rsidP="001D382A">
            <w:pPr>
              <w:pStyle w:val="Brdtext"/>
              <w:rPr>
                <w:lang w:val="en-US"/>
              </w:rPr>
            </w:pPr>
            <w:r>
              <w:rPr>
                <w:lang w:val="en-US"/>
              </w:rPr>
              <w:t>101-200</w:t>
            </w:r>
          </w:p>
        </w:tc>
      </w:tr>
      <w:tr w:rsidR="001D382A" w:rsidRPr="002E6DD4" w:rsidTr="001D382A">
        <w:tc>
          <w:tcPr>
            <w:tcW w:w="1457" w:type="dxa"/>
          </w:tcPr>
          <w:p w:rsidR="001D382A" w:rsidRPr="002E6DD4" w:rsidRDefault="001D382A" w:rsidP="001D382A">
            <w:pPr>
              <w:pStyle w:val="Brdtext"/>
              <w:rPr>
                <w:lang w:val="en-US"/>
              </w:rPr>
            </w:pPr>
            <w:r>
              <w:rPr>
                <w:lang w:val="en-US"/>
              </w:rPr>
              <w:lastRenderedPageBreak/>
              <w:t>SDG</w:t>
            </w:r>
            <w:r w:rsidR="00DF093A">
              <w:rPr>
                <w:lang w:val="en-US"/>
              </w:rPr>
              <w:t xml:space="preserve"> </w:t>
            </w:r>
            <w:r>
              <w:rPr>
                <w:lang w:val="en-US"/>
              </w:rPr>
              <w:t>12</w:t>
            </w:r>
            <w:r w:rsidRPr="002E6DD4">
              <w:rPr>
                <w:lang w:val="en-US"/>
              </w:rPr>
              <w:t xml:space="preserve"> Respons</w:t>
            </w:r>
            <w:r>
              <w:rPr>
                <w:lang w:val="en-US"/>
              </w:rPr>
              <w:t xml:space="preserve">ible Consumption and Production: rank </w:t>
            </w:r>
            <w:r w:rsidRPr="002E04C9">
              <w:rPr>
                <w:b/>
                <w:lang w:val="en-US"/>
              </w:rPr>
              <w:t>13</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w:t>
            </w:r>
          </w:p>
        </w:tc>
        <w:tc>
          <w:tcPr>
            <w:tcW w:w="692" w:type="dxa"/>
          </w:tcPr>
          <w:p w:rsidR="001D382A" w:rsidRPr="002E6DD4" w:rsidRDefault="001D382A" w:rsidP="001D382A">
            <w:pPr>
              <w:pStyle w:val="Brdtext"/>
              <w:rPr>
                <w:lang w:val="en-US"/>
              </w:rPr>
            </w:pPr>
            <w:r>
              <w:rPr>
                <w:lang w:val="en-US"/>
              </w:rPr>
              <w:t>44</w:t>
            </w:r>
          </w:p>
        </w:tc>
        <w:tc>
          <w:tcPr>
            <w:tcW w:w="692" w:type="dxa"/>
          </w:tcPr>
          <w:p w:rsidR="001D382A" w:rsidRPr="002E6DD4" w:rsidRDefault="001D382A" w:rsidP="001D382A">
            <w:pPr>
              <w:pStyle w:val="Brdtext"/>
              <w:rPr>
                <w:lang w:val="en-US"/>
              </w:rPr>
            </w:pPr>
            <w:r>
              <w:rPr>
                <w:lang w:val="en-US"/>
              </w:rPr>
              <w:t>2</w:t>
            </w:r>
          </w:p>
        </w:tc>
        <w:tc>
          <w:tcPr>
            <w:tcW w:w="691" w:type="dxa"/>
          </w:tcPr>
          <w:p w:rsidR="001D382A" w:rsidRPr="002E6DD4" w:rsidRDefault="001D382A" w:rsidP="001D382A">
            <w:pPr>
              <w:pStyle w:val="Brdtext"/>
              <w:rPr>
                <w:lang w:val="en-US"/>
              </w:rPr>
            </w:pPr>
            <w:r>
              <w:rPr>
                <w:lang w:val="en-US"/>
              </w:rPr>
              <w:t>101-200</w:t>
            </w:r>
          </w:p>
        </w:tc>
        <w:tc>
          <w:tcPr>
            <w:tcW w:w="624" w:type="dxa"/>
          </w:tcPr>
          <w:p w:rsidR="001D382A" w:rsidRPr="002E6DD4" w:rsidRDefault="001D382A" w:rsidP="001D382A">
            <w:pPr>
              <w:pStyle w:val="Brdtext"/>
              <w:rPr>
                <w:lang w:val="en-US"/>
              </w:rPr>
            </w:pPr>
            <w:r>
              <w:rPr>
                <w:lang w:val="en-US"/>
              </w:rPr>
              <w:t>69</w:t>
            </w:r>
          </w:p>
        </w:tc>
        <w:tc>
          <w:tcPr>
            <w:tcW w:w="691" w:type="dxa"/>
          </w:tcPr>
          <w:p w:rsidR="001D382A" w:rsidRPr="002E6DD4" w:rsidRDefault="001D382A" w:rsidP="001D382A">
            <w:pPr>
              <w:pStyle w:val="Brdtext"/>
              <w:rPr>
                <w:lang w:val="en-US"/>
              </w:rPr>
            </w:pPr>
            <w:r>
              <w:rPr>
                <w:lang w:val="en-US"/>
              </w:rPr>
              <w:t>27</w:t>
            </w:r>
          </w:p>
        </w:tc>
        <w:tc>
          <w:tcPr>
            <w:tcW w:w="691" w:type="dxa"/>
          </w:tcPr>
          <w:p w:rsidR="001D382A" w:rsidRDefault="001D382A" w:rsidP="001D382A">
            <w:pPr>
              <w:pStyle w:val="Brdtext"/>
              <w:rPr>
                <w:lang w:val="en-US"/>
              </w:rPr>
            </w:pPr>
            <w:r>
              <w:rPr>
                <w:lang w:val="en-US"/>
              </w:rPr>
              <w:t>47</w:t>
            </w:r>
          </w:p>
        </w:tc>
        <w:tc>
          <w:tcPr>
            <w:tcW w:w="691" w:type="dxa"/>
          </w:tcPr>
          <w:p w:rsidR="001D382A" w:rsidRDefault="001D382A" w:rsidP="001D382A">
            <w:pPr>
              <w:pStyle w:val="Brdtext"/>
              <w:rPr>
                <w:lang w:val="en-US"/>
              </w:rPr>
            </w:pPr>
            <w:r>
              <w:rPr>
                <w:lang w:val="en-US"/>
              </w:rPr>
              <w:t>101-200</w:t>
            </w:r>
          </w:p>
        </w:tc>
        <w:tc>
          <w:tcPr>
            <w:tcW w:w="691" w:type="dxa"/>
          </w:tcPr>
          <w:p w:rsidR="001D382A" w:rsidRDefault="001D382A" w:rsidP="001D382A">
            <w:pPr>
              <w:pStyle w:val="Brdtext"/>
              <w:rPr>
                <w:lang w:val="en-US"/>
              </w:rPr>
            </w:pPr>
            <w:r>
              <w:rPr>
                <w:lang w:val="en-US"/>
              </w:rPr>
              <w:t>201-300</w:t>
            </w:r>
          </w:p>
        </w:tc>
        <w:tc>
          <w:tcPr>
            <w:tcW w:w="691" w:type="dxa"/>
          </w:tcPr>
          <w:p w:rsidR="001D382A" w:rsidRDefault="001D382A" w:rsidP="001D382A">
            <w:pPr>
              <w:pStyle w:val="Brdtext"/>
              <w:rPr>
                <w:lang w:val="en-US"/>
              </w:rPr>
            </w:pPr>
            <w:r>
              <w:rPr>
                <w:lang w:val="en-US"/>
              </w:rPr>
              <w:t>…</w:t>
            </w:r>
          </w:p>
        </w:tc>
      </w:tr>
      <w:tr w:rsidR="001D382A" w:rsidRPr="002E6DD4" w:rsidTr="001D382A">
        <w:tc>
          <w:tcPr>
            <w:tcW w:w="1457" w:type="dxa"/>
          </w:tcPr>
          <w:p w:rsidR="001D382A" w:rsidRPr="002E6DD4" w:rsidRDefault="001D382A" w:rsidP="001D382A">
            <w:pPr>
              <w:pStyle w:val="Brdtext"/>
              <w:rPr>
                <w:lang w:val="en-US"/>
              </w:rPr>
            </w:pPr>
            <w:r>
              <w:rPr>
                <w:lang w:val="en-US"/>
              </w:rPr>
              <w:t>SDG</w:t>
            </w:r>
            <w:r w:rsidR="00DF093A">
              <w:rPr>
                <w:lang w:val="en-US"/>
              </w:rPr>
              <w:t xml:space="preserve"> </w:t>
            </w:r>
            <w:r>
              <w:rPr>
                <w:lang w:val="en-US"/>
              </w:rPr>
              <w:t xml:space="preserve">13 </w:t>
            </w:r>
            <w:r w:rsidRPr="002E6DD4">
              <w:rPr>
                <w:lang w:val="en-US"/>
              </w:rPr>
              <w:t>Climate Action</w:t>
            </w:r>
            <w:r>
              <w:rPr>
                <w:lang w:val="en-US"/>
              </w:rPr>
              <w:t xml:space="preserve">: rank </w:t>
            </w:r>
            <w:r w:rsidRPr="002E04C9">
              <w:rPr>
                <w:b/>
                <w:lang w:val="en-US"/>
              </w:rPr>
              <w:t>51</w:t>
            </w:r>
          </w:p>
        </w:tc>
        <w:tc>
          <w:tcPr>
            <w:tcW w:w="692" w:type="dxa"/>
          </w:tcPr>
          <w:p w:rsidR="001D382A" w:rsidRPr="002E04C9" w:rsidRDefault="001D382A" w:rsidP="001D382A">
            <w:pPr>
              <w:pStyle w:val="Brdtext"/>
              <w:rPr>
                <w:lang w:val="en-US"/>
              </w:rPr>
            </w:pPr>
            <w:r w:rsidRPr="002E04C9">
              <w:rPr>
                <w:lang w:val="en-US"/>
              </w:rPr>
              <w:t>101-200</w:t>
            </w:r>
          </w:p>
        </w:tc>
        <w:tc>
          <w:tcPr>
            <w:tcW w:w="692" w:type="dxa"/>
          </w:tcPr>
          <w:p w:rsidR="001D382A" w:rsidRPr="002E04C9" w:rsidRDefault="001D382A" w:rsidP="001D382A">
            <w:pPr>
              <w:pStyle w:val="Brdtext"/>
              <w:rPr>
                <w:lang w:val="en-US"/>
              </w:rPr>
            </w:pPr>
            <w:r w:rsidRPr="002E04C9">
              <w:rPr>
                <w:lang w:val="en-US"/>
              </w:rPr>
              <w:t>…</w:t>
            </w:r>
          </w:p>
        </w:tc>
        <w:tc>
          <w:tcPr>
            <w:tcW w:w="692" w:type="dxa"/>
          </w:tcPr>
          <w:p w:rsidR="001D382A" w:rsidRPr="002E04C9" w:rsidRDefault="001D382A" w:rsidP="001D382A">
            <w:pPr>
              <w:pStyle w:val="Brdtext"/>
              <w:rPr>
                <w:lang w:val="en-US"/>
              </w:rPr>
            </w:pPr>
            <w:r w:rsidRPr="002E04C9">
              <w:rPr>
                <w:lang w:val="en-US"/>
              </w:rPr>
              <w:t>37</w:t>
            </w:r>
          </w:p>
        </w:tc>
        <w:tc>
          <w:tcPr>
            <w:tcW w:w="692"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101-200</w:t>
            </w:r>
          </w:p>
        </w:tc>
        <w:tc>
          <w:tcPr>
            <w:tcW w:w="624" w:type="dxa"/>
          </w:tcPr>
          <w:p w:rsidR="001D382A" w:rsidRPr="002E04C9" w:rsidRDefault="001D382A" w:rsidP="001D382A">
            <w:pPr>
              <w:pStyle w:val="Brdtext"/>
              <w:rPr>
                <w:lang w:val="en-US"/>
              </w:rPr>
            </w:pPr>
            <w:r w:rsidRPr="002E04C9">
              <w:rPr>
                <w:lang w:val="en-US"/>
              </w:rPr>
              <w:t>88</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52</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Pr>
                <w:lang w:val="en-US"/>
              </w:rPr>
              <w:t>101-200</w:t>
            </w:r>
          </w:p>
        </w:tc>
      </w:tr>
      <w:tr w:rsidR="001D382A" w:rsidRPr="002E6DD4" w:rsidTr="001D382A">
        <w:tc>
          <w:tcPr>
            <w:tcW w:w="1457" w:type="dxa"/>
          </w:tcPr>
          <w:p w:rsidR="001D382A" w:rsidRPr="002E6DD4" w:rsidRDefault="001D382A" w:rsidP="001D382A">
            <w:pPr>
              <w:pStyle w:val="Brdtext"/>
              <w:rPr>
                <w:lang w:val="en-US"/>
              </w:rPr>
            </w:pPr>
            <w:r>
              <w:rPr>
                <w:lang w:val="en-US"/>
              </w:rPr>
              <w:t>SDG</w:t>
            </w:r>
            <w:r w:rsidR="00DF093A">
              <w:rPr>
                <w:lang w:val="en-US"/>
              </w:rPr>
              <w:t xml:space="preserve"> </w:t>
            </w:r>
            <w:r>
              <w:rPr>
                <w:lang w:val="en-US"/>
              </w:rPr>
              <w:t>15</w:t>
            </w:r>
            <w:r w:rsidRPr="002E6DD4">
              <w:rPr>
                <w:lang w:val="en-US"/>
              </w:rPr>
              <w:t xml:space="preserve"> Life on Land</w:t>
            </w:r>
            <w:r>
              <w:rPr>
                <w:lang w:val="en-US"/>
              </w:rPr>
              <w:t xml:space="preserve">: rank </w:t>
            </w:r>
            <w:r w:rsidRPr="002E04C9">
              <w:rPr>
                <w:b/>
                <w:lang w:val="en-US"/>
              </w:rPr>
              <w:t>75</w:t>
            </w:r>
          </w:p>
        </w:tc>
        <w:tc>
          <w:tcPr>
            <w:tcW w:w="692" w:type="dxa"/>
          </w:tcPr>
          <w:p w:rsidR="001D382A" w:rsidRPr="002E04C9" w:rsidRDefault="001D382A" w:rsidP="001D382A">
            <w:pPr>
              <w:pStyle w:val="Brdtext"/>
              <w:rPr>
                <w:lang w:val="en-US"/>
              </w:rPr>
            </w:pPr>
            <w:r w:rsidRPr="002E04C9">
              <w:rPr>
                <w:lang w:val="en-US"/>
              </w:rPr>
              <w:t>…</w:t>
            </w:r>
          </w:p>
        </w:tc>
        <w:tc>
          <w:tcPr>
            <w:tcW w:w="692" w:type="dxa"/>
          </w:tcPr>
          <w:p w:rsidR="001D382A" w:rsidRPr="002E04C9" w:rsidRDefault="001D382A" w:rsidP="001D382A">
            <w:pPr>
              <w:pStyle w:val="Brdtext"/>
              <w:rPr>
                <w:lang w:val="en-US"/>
              </w:rPr>
            </w:pPr>
            <w:r w:rsidRPr="002E04C9">
              <w:rPr>
                <w:lang w:val="en-US"/>
              </w:rPr>
              <w:t>3</w:t>
            </w:r>
          </w:p>
        </w:tc>
        <w:tc>
          <w:tcPr>
            <w:tcW w:w="692" w:type="dxa"/>
          </w:tcPr>
          <w:p w:rsidR="001D382A" w:rsidRPr="002E04C9" w:rsidRDefault="001D382A" w:rsidP="001D382A">
            <w:pPr>
              <w:pStyle w:val="Brdtext"/>
              <w:rPr>
                <w:lang w:val="en-US"/>
              </w:rPr>
            </w:pPr>
            <w:r w:rsidRPr="002E04C9">
              <w:rPr>
                <w:lang w:val="en-US"/>
              </w:rPr>
              <w:t>85</w:t>
            </w:r>
          </w:p>
        </w:tc>
        <w:tc>
          <w:tcPr>
            <w:tcW w:w="692" w:type="dxa"/>
          </w:tcPr>
          <w:p w:rsidR="001D382A" w:rsidRPr="002E04C9" w:rsidRDefault="001D382A" w:rsidP="001D382A">
            <w:pPr>
              <w:pStyle w:val="Brdtext"/>
              <w:rPr>
                <w:lang w:val="en-US"/>
              </w:rPr>
            </w:pPr>
            <w:r w:rsidRPr="002E04C9">
              <w:rPr>
                <w:lang w:val="en-US"/>
              </w:rPr>
              <w:t>…</w:t>
            </w:r>
          </w:p>
        </w:tc>
        <w:tc>
          <w:tcPr>
            <w:tcW w:w="691" w:type="dxa"/>
          </w:tcPr>
          <w:p w:rsidR="001D382A" w:rsidRPr="002E04C9" w:rsidRDefault="001D382A" w:rsidP="001D382A">
            <w:pPr>
              <w:pStyle w:val="Brdtext"/>
              <w:rPr>
                <w:lang w:val="en-US"/>
              </w:rPr>
            </w:pPr>
            <w:r w:rsidRPr="002E04C9">
              <w:rPr>
                <w:lang w:val="en-US"/>
              </w:rPr>
              <w:t>101-200</w:t>
            </w:r>
          </w:p>
        </w:tc>
        <w:tc>
          <w:tcPr>
            <w:tcW w:w="624" w:type="dxa"/>
          </w:tcPr>
          <w:p w:rsidR="001D382A" w:rsidRPr="002E04C9" w:rsidRDefault="001D382A" w:rsidP="001D382A">
            <w:pPr>
              <w:pStyle w:val="Brdtext"/>
              <w:rPr>
                <w:lang w:val="en-US"/>
              </w:rPr>
            </w:pPr>
            <w:r w:rsidRPr="002E04C9">
              <w:rPr>
                <w:lang w:val="en-US"/>
              </w:rPr>
              <w:t>16</w:t>
            </w:r>
          </w:p>
        </w:tc>
        <w:tc>
          <w:tcPr>
            <w:tcW w:w="691" w:type="dxa"/>
          </w:tcPr>
          <w:p w:rsidR="001D382A" w:rsidRPr="002E04C9" w:rsidRDefault="001D382A" w:rsidP="001D382A">
            <w:pPr>
              <w:pStyle w:val="Brdtext"/>
              <w:rPr>
                <w:lang w:val="en-US"/>
              </w:rPr>
            </w:pPr>
            <w:r w:rsidRPr="002E04C9">
              <w:rPr>
                <w:lang w:val="en-US"/>
              </w:rPr>
              <w:t>19</w:t>
            </w:r>
          </w:p>
        </w:tc>
        <w:tc>
          <w:tcPr>
            <w:tcW w:w="691" w:type="dxa"/>
          </w:tcPr>
          <w:p w:rsidR="001D382A" w:rsidRPr="002E04C9" w:rsidRDefault="001D382A" w:rsidP="001D382A">
            <w:pPr>
              <w:pStyle w:val="Brdtext"/>
              <w:rPr>
                <w:lang w:val="en-US"/>
              </w:rPr>
            </w:pPr>
            <w:r w:rsidRPr="002E04C9">
              <w:rPr>
                <w:lang w:val="en-US"/>
              </w:rPr>
              <w:t>…</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Pr>
                <w:lang w:val="en-US"/>
              </w:rPr>
              <w:t>…</w:t>
            </w:r>
          </w:p>
        </w:tc>
      </w:tr>
      <w:tr w:rsidR="001D382A" w:rsidRPr="002E6DD4" w:rsidTr="001D382A">
        <w:tc>
          <w:tcPr>
            <w:tcW w:w="1457" w:type="dxa"/>
          </w:tcPr>
          <w:p w:rsidR="001D382A" w:rsidRPr="002E6DD4" w:rsidRDefault="001D382A" w:rsidP="001D382A">
            <w:pPr>
              <w:pStyle w:val="Brdtext"/>
              <w:rPr>
                <w:lang w:val="en-US"/>
              </w:rPr>
            </w:pPr>
            <w:r w:rsidRPr="002E6DD4">
              <w:rPr>
                <w:lang w:val="en-US"/>
              </w:rPr>
              <w:t>S</w:t>
            </w:r>
            <w:r>
              <w:rPr>
                <w:lang w:val="en-US"/>
              </w:rPr>
              <w:t>DG</w:t>
            </w:r>
            <w:r w:rsidR="00DF093A">
              <w:rPr>
                <w:lang w:val="en-US"/>
              </w:rPr>
              <w:t xml:space="preserve"> </w:t>
            </w:r>
            <w:r>
              <w:rPr>
                <w:lang w:val="en-US"/>
              </w:rPr>
              <w:t xml:space="preserve">17 Partnership for the Goals: rank </w:t>
            </w:r>
            <w:r w:rsidRPr="002E04C9">
              <w:rPr>
                <w:b/>
                <w:lang w:val="en-US"/>
              </w:rPr>
              <w:t>71</w:t>
            </w:r>
          </w:p>
        </w:tc>
        <w:tc>
          <w:tcPr>
            <w:tcW w:w="692" w:type="dxa"/>
          </w:tcPr>
          <w:p w:rsidR="001D382A" w:rsidRPr="002E04C9" w:rsidRDefault="001D382A" w:rsidP="001D382A">
            <w:pPr>
              <w:pStyle w:val="Brdtext"/>
              <w:rPr>
                <w:lang w:val="en-US"/>
              </w:rPr>
            </w:pPr>
            <w:r w:rsidRPr="002E04C9">
              <w:rPr>
                <w:lang w:val="en-US"/>
              </w:rPr>
              <w:t>201-300</w:t>
            </w:r>
          </w:p>
        </w:tc>
        <w:tc>
          <w:tcPr>
            <w:tcW w:w="692" w:type="dxa"/>
          </w:tcPr>
          <w:p w:rsidR="001D382A" w:rsidRPr="002E04C9" w:rsidRDefault="001D382A" w:rsidP="001D382A">
            <w:pPr>
              <w:pStyle w:val="Brdtext"/>
              <w:rPr>
                <w:lang w:val="en-US"/>
              </w:rPr>
            </w:pPr>
            <w:r w:rsidRPr="002E04C9">
              <w:rPr>
                <w:lang w:val="en-US"/>
              </w:rPr>
              <w:t>34</w:t>
            </w:r>
          </w:p>
        </w:tc>
        <w:tc>
          <w:tcPr>
            <w:tcW w:w="692" w:type="dxa"/>
          </w:tcPr>
          <w:p w:rsidR="001D382A" w:rsidRPr="002E04C9" w:rsidRDefault="001D382A" w:rsidP="001D382A">
            <w:pPr>
              <w:pStyle w:val="Brdtext"/>
              <w:rPr>
                <w:lang w:val="en-US"/>
              </w:rPr>
            </w:pPr>
            <w:r w:rsidRPr="002E04C9">
              <w:rPr>
                <w:lang w:val="en-US"/>
              </w:rPr>
              <w:t>33</w:t>
            </w:r>
          </w:p>
        </w:tc>
        <w:tc>
          <w:tcPr>
            <w:tcW w:w="692"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101-200</w:t>
            </w:r>
          </w:p>
        </w:tc>
        <w:tc>
          <w:tcPr>
            <w:tcW w:w="624" w:type="dxa"/>
          </w:tcPr>
          <w:p w:rsidR="001D382A" w:rsidRPr="002E04C9" w:rsidRDefault="001D382A" w:rsidP="001D382A">
            <w:pPr>
              <w:pStyle w:val="Brdtext"/>
              <w:rPr>
                <w:lang w:val="en-US"/>
              </w:rPr>
            </w:pPr>
            <w:r w:rsidRPr="002E04C9">
              <w:rPr>
                <w:lang w:val="en-US"/>
              </w:rPr>
              <w:t>62</w:t>
            </w:r>
          </w:p>
        </w:tc>
        <w:tc>
          <w:tcPr>
            <w:tcW w:w="691" w:type="dxa"/>
          </w:tcPr>
          <w:p w:rsidR="001D382A" w:rsidRPr="002E04C9" w:rsidRDefault="001D382A" w:rsidP="001D382A">
            <w:pPr>
              <w:pStyle w:val="Brdtext"/>
              <w:rPr>
                <w:lang w:val="en-US"/>
              </w:rPr>
            </w:pPr>
            <w:r w:rsidRPr="002E04C9">
              <w:rPr>
                <w:lang w:val="en-US"/>
              </w:rPr>
              <w:t>101-200</w:t>
            </w:r>
          </w:p>
        </w:tc>
        <w:tc>
          <w:tcPr>
            <w:tcW w:w="691" w:type="dxa"/>
          </w:tcPr>
          <w:p w:rsidR="001D382A" w:rsidRPr="002E04C9" w:rsidRDefault="001D382A" w:rsidP="001D382A">
            <w:pPr>
              <w:pStyle w:val="Brdtext"/>
              <w:rPr>
                <w:lang w:val="en-US"/>
              </w:rPr>
            </w:pPr>
            <w:r w:rsidRPr="002E04C9">
              <w:rPr>
                <w:lang w:val="en-US"/>
              </w:rPr>
              <w:t>29</w:t>
            </w:r>
          </w:p>
        </w:tc>
        <w:tc>
          <w:tcPr>
            <w:tcW w:w="691" w:type="dxa"/>
          </w:tcPr>
          <w:p w:rsidR="001D382A" w:rsidRPr="002E04C9" w:rsidRDefault="001D382A" w:rsidP="001D382A">
            <w:pPr>
              <w:pStyle w:val="Brdtext"/>
              <w:rPr>
                <w:lang w:val="en-US"/>
              </w:rPr>
            </w:pPr>
            <w:r w:rsidRPr="002E04C9">
              <w:rPr>
                <w:lang w:val="en-US"/>
              </w:rPr>
              <w:t>201-300</w:t>
            </w:r>
          </w:p>
        </w:tc>
        <w:tc>
          <w:tcPr>
            <w:tcW w:w="691" w:type="dxa"/>
          </w:tcPr>
          <w:p w:rsidR="001D382A" w:rsidRPr="002E04C9" w:rsidRDefault="001D382A" w:rsidP="001D382A">
            <w:pPr>
              <w:pStyle w:val="Brdtext"/>
              <w:rPr>
                <w:lang w:val="en-US"/>
              </w:rPr>
            </w:pPr>
            <w:r w:rsidRPr="002E04C9">
              <w:rPr>
                <w:lang w:val="en-US"/>
              </w:rPr>
              <w:t>80</w:t>
            </w:r>
          </w:p>
        </w:tc>
        <w:tc>
          <w:tcPr>
            <w:tcW w:w="691" w:type="dxa"/>
          </w:tcPr>
          <w:p w:rsidR="001D382A" w:rsidRPr="002E04C9" w:rsidRDefault="001D382A" w:rsidP="001D382A">
            <w:pPr>
              <w:pStyle w:val="Brdtext"/>
              <w:rPr>
                <w:lang w:val="en-US"/>
              </w:rPr>
            </w:pPr>
            <w:r>
              <w:rPr>
                <w:lang w:val="en-US"/>
              </w:rPr>
              <w:t>401-600</w:t>
            </w:r>
          </w:p>
        </w:tc>
      </w:tr>
    </w:tbl>
    <w:p w:rsidR="00F241D2" w:rsidRDefault="00F241D2" w:rsidP="00F241D2">
      <w:pPr>
        <w:pStyle w:val="Brdtext"/>
        <w:rPr>
          <w:lang w:val="en-US"/>
        </w:rPr>
      </w:pPr>
    </w:p>
    <w:p w:rsidR="00820529" w:rsidRPr="00AE1E1F" w:rsidRDefault="00F241D2" w:rsidP="00F241D2">
      <w:pPr>
        <w:pStyle w:val="Brdtext"/>
      </w:pPr>
      <w:r w:rsidRPr="00F241D2">
        <w:t xml:space="preserve">KTH är som mest framstående inom </w:t>
      </w:r>
      <w:r w:rsidR="002E7082">
        <w:t xml:space="preserve">mål </w:t>
      </w:r>
      <w:r w:rsidRPr="00F241D2">
        <w:t xml:space="preserve">12 </w:t>
      </w:r>
      <w:proofErr w:type="spellStart"/>
      <w:r w:rsidRPr="00F241D2">
        <w:t>Responsible</w:t>
      </w:r>
      <w:proofErr w:type="spellEnd"/>
      <w:r w:rsidRPr="00F241D2">
        <w:t xml:space="preserve"> </w:t>
      </w:r>
      <w:proofErr w:type="spellStart"/>
      <w:r w:rsidRPr="00F241D2">
        <w:t>Consumption</w:t>
      </w:r>
      <w:proofErr w:type="spellEnd"/>
      <w:r w:rsidRPr="00F241D2">
        <w:t xml:space="preserve"> and </w:t>
      </w:r>
      <w:proofErr w:type="spellStart"/>
      <w:r w:rsidRPr="00F241D2">
        <w:t>Production</w:t>
      </w:r>
      <w:proofErr w:type="spellEnd"/>
      <w:r w:rsidRPr="00F241D2">
        <w:t xml:space="preserve"> där vi rankas som nr 13</w:t>
      </w:r>
      <w:r>
        <w:t xml:space="preserve">, </w:t>
      </w:r>
      <w:r w:rsidR="00BD2CC7">
        <w:t xml:space="preserve">vilket </w:t>
      </w:r>
      <w:r>
        <w:t>är</w:t>
      </w:r>
      <w:r w:rsidR="00DF093A">
        <w:t>, med undantag av Aalto,</w:t>
      </w:r>
      <w:r>
        <w:t xml:space="preserve"> bättre än de universitet som finns redovisade i tabellen ovan. I jämförelse med universiteten </w:t>
      </w:r>
      <w:r w:rsidR="00B05A7A">
        <w:t xml:space="preserve">i tabellen </w:t>
      </w:r>
      <w:r>
        <w:t xml:space="preserve">ovan hävdar vi oss </w:t>
      </w:r>
      <w:r w:rsidR="00F130BE">
        <w:t>sär</w:t>
      </w:r>
      <w:r w:rsidR="00B05A7A">
        <w:t>s</w:t>
      </w:r>
      <w:r w:rsidR="00F130BE">
        <w:t>kil</w:t>
      </w:r>
      <w:r w:rsidR="00B05A7A">
        <w:t>t</w:t>
      </w:r>
      <w:r w:rsidR="00F130BE">
        <w:t xml:space="preserve"> </w:t>
      </w:r>
      <w:r>
        <w:t xml:space="preserve">väl i </w:t>
      </w:r>
      <w:r w:rsidR="002E7082">
        <w:t xml:space="preserve">mål </w:t>
      </w:r>
      <w:r w:rsidR="00C33809" w:rsidRPr="00D77338">
        <w:t xml:space="preserve">13 </w:t>
      </w:r>
      <w:proofErr w:type="spellStart"/>
      <w:r w:rsidR="00C33809" w:rsidRPr="00D77338">
        <w:t>Climate</w:t>
      </w:r>
      <w:proofErr w:type="spellEnd"/>
      <w:r w:rsidR="00C33809" w:rsidRPr="00D77338">
        <w:t xml:space="preserve"> Action: rank 51</w:t>
      </w:r>
      <w:r w:rsidR="00C33809">
        <w:t xml:space="preserve"> och</w:t>
      </w:r>
      <w:r w:rsidR="00ED2FC0">
        <w:t xml:space="preserve"> mål </w:t>
      </w:r>
      <w:r w:rsidR="00ED2FC0" w:rsidRPr="00AE1E1F">
        <w:t xml:space="preserve">7 </w:t>
      </w:r>
      <w:proofErr w:type="spellStart"/>
      <w:r w:rsidR="00ED2FC0" w:rsidRPr="00AE1E1F">
        <w:t>Affordable</w:t>
      </w:r>
      <w:proofErr w:type="spellEnd"/>
      <w:r w:rsidR="00ED2FC0" w:rsidRPr="00AE1E1F">
        <w:t xml:space="preserve"> and Clean Energy</w:t>
      </w:r>
      <w:r w:rsidR="00ED2FC0">
        <w:t>: rank 52</w:t>
      </w:r>
      <w:r w:rsidR="00D77338" w:rsidRPr="00D77338">
        <w:t xml:space="preserve">. </w:t>
      </w:r>
      <w:r w:rsidR="00AE1E1F">
        <w:t xml:space="preserve">Mycket bra hävdar vi oss också inom </w:t>
      </w:r>
      <w:r w:rsidR="005230FA">
        <w:t xml:space="preserve">mål </w:t>
      </w:r>
      <w:r w:rsidR="005230FA" w:rsidRPr="00D77338">
        <w:t>1</w:t>
      </w:r>
      <w:r w:rsidR="005230FA">
        <w:t>1</w:t>
      </w:r>
      <w:r w:rsidR="005230FA">
        <w:t xml:space="preserve"> </w:t>
      </w:r>
      <w:proofErr w:type="spellStart"/>
      <w:r w:rsidR="00ED2FC0" w:rsidRPr="00426EA0">
        <w:t>Sustainable</w:t>
      </w:r>
      <w:proofErr w:type="spellEnd"/>
      <w:r w:rsidR="00ED2FC0" w:rsidRPr="00426EA0">
        <w:t xml:space="preserve"> </w:t>
      </w:r>
      <w:proofErr w:type="spellStart"/>
      <w:r w:rsidR="00ED2FC0" w:rsidRPr="00426EA0">
        <w:t>Cities</w:t>
      </w:r>
      <w:proofErr w:type="spellEnd"/>
      <w:r w:rsidR="00ED2FC0" w:rsidRPr="00426EA0">
        <w:t xml:space="preserve"> and </w:t>
      </w:r>
      <w:proofErr w:type="spellStart"/>
      <w:r w:rsidR="00ED2FC0" w:rsidRPr="00426EA0">
        <w:t>Communities</w:t>
      </w:r>
      <w:proofErr w:type="spellEnd"/>
      <w:r w:rsidR="00ED2FC0">
        <w:t xml:space="preserve"> </w:t>
      </w:r>
      <w:r w:rsidR="00AE1E1F">
        <w:t>och rankas här som nr 5</w:t>
      </w:r>
      <w:r w:rsidR="005230FA">
        <w:t>5</w:t>
      </w:r>
      <w:r w:rsidR="00AE1E1F">
        <w:t>.</w:t>
      </w:r>
      <w:bookmarkStart w:id="16" w:name="_GoBack"/>
      <w:bookmarkEnd w:id="16"/>
    </w:p>
    <w:p w:rsidR="00F130BE" w:rsidRDefault="00D77338" w:rsidP="00F241D2">
      <w:pPr>
        <w:pStyle w:val="Brdtext"/>
      </w:pPr>
      <w:r w:rsidRPr="00D77338">
        <w:t xml:space="preserve">I den </w:t>
      </w:r>
      <w:proofErr w:type="spellStart"/>
      <w:r w:rsidR="00E400F4" w:rsidRPr="00D77338">
        <w:t>rank</w:t>
      </w:r>
      <w:r w:rsidR="00D44B85">
        <w:t>n</w:t>
      </w:r>
      <w:r w:rsidR="00E400F4" w:rsidRPr="00D77338">
        <w:t>ingmässig</w:t>
      </w:r>
      <w:r w:rsidR="00E400F4">
        <w:t>t</w:t>
      </w:r>
      <w:proofErr w:type="spellEnd"/>
      <w:r>
        <w:t xml:space="preserve"> </w:t>
      </w:r>
      <w:r w:rsidR="00E400F4">
        <w:t>viktigaste</w:t>
      </w:r>
      <w:r>
        <w:t xml:space="preserve"> parametern </w:t>
      </w:r>
      <w:r w:rsidR="002E7082">
        <w:t>mål</w:t>
      </w:r>
      <w:r>
        <w:t xml:space="preserve"> 17 står</w:t>
      </w:r>
      <w:r w:rsidRPr="00D77338">
        <w:t xml:space="preserve"> vi oss förhållandevis väl.</w:t>
      </w:r>
      <w:r w:rsidR="001D382A">
        <w:t xml:space="preserve"> Här presterar både MIT och École Polytechnique förvånansvärt svagt</w:t>
      </w:r>
      <w:r w:rsidR="00FF40E8">
        <w:t xml:space="preserve"> </w:t>
      </w:r>
      <w:r w:rsidR="002C5E88">
        <w:t xml:space="preserve">åtminstone </w:t>
      </w:r>
      <w:r w:rsidR="00F130BE">
        <w:t>sett till deras</w:t>
      </w:r>
      <w:r w:rsidR="00FF40E8">
        <w:t xml:space="preserve"> rykte</w:t>
      </w:r>
      <w:r w:rsidR="001D382A">
        <w:t>.</w:t>
      </w:r>
      <w:r w:rsidRPr="00E400F4">
        <w:t xml:space="preserve"> </w:t>
      </w:r>
    </w:p>
    <w:p w:rsidR="00F241D2" w:rsidRPr="00D77338" w:rsidRDefault="00E400F4" w:rsidP="00F241D2">
      <w:pPr>
        <w:pStyle w:val="Brdtext"/>
      </w:pPr>
      <w:r w:rsidRPr="00E400F4">
        <w:t xml:space="preserve">Den forskning, utbildning och det arbete som bedrivs </w:t>
      </w:r>
      <w:r w:rsidR="00FF40E8">
        <w:t xml:space="preserve">av KTH </w:t>
      </w:r>
      <w:r w:rsidRPr="00E400F4">
        <w:t>samt inte minst den dokumentation som finns inom dessa områden står sig därmed synnerligen väl ur ett internationellt perspektiv.</w:t>
      </w:r>
      <w:r>
        <w:rPr>
          <w:b/>
        </w:rPr>
        <w:t xml:space="preserve"> </w:t>
      </w:r>
    </w:p>
    <w:p w:rsidR="00C4684B" w:rsidRDefault="00C4684B" w:rsidP="00C4684B">
      <w:pPr>
        <w:pStyle w:val="Brdtext"/>
      </w:pPr>
      <w:r>
        <w:t>KTH fick mindre värden sett till nedanstående globala mål  i jämförelse mot de jämförelseuniversitet som ingår i den totala rankningen:</w:t>
      </w:r>
    </w:p>
    <w:tbl>
      <w:tblPr>
        <w:tblStyle w:val="Tabellrutnt"/>
        <w:tblW w:w="9844" w:type="dxa"/>
        <w:tblLook w:val="04A0" w:firstRow="1" w:lastRow="0" w:firstColumn="1" w:lastColumn="0" w:noHBand="0" w:noVBand="1"/>
      </w:tblPr>
      <w:tblGrid>
        <w:gridCol w:w="1660"/>
        <w:gridCol w:w="722"/>
        <w:gridCol w:w="722"/>
        <w:gridCol w:w="722"/>
        <w:gridCol w:w="722"/>
        <w:gridCol w:w="722"/>
        <w:gridCol w:w="722"/>
        <w:gridCol w:w="722"/>
        <w:gridCol w:w="722"/>
        <w:gridCol w:w="722"/>
        <w:gridCol w:w="964"/>
        <w:gridCol w:w="722"/>
      </w:tblGrid>
      <w:tr w:rsidR="001D382A" w:rsidTr="0098622E">
        <w:trPr>
          <w:cantSplit/>
          <w:trHeight w:val="2494"/>
        </w:trPr>
        <w:tc>
          <w:tcPr>
            <w:tcW w:w="1660" w:type="dxa"/>
            <w:textDirection w:val="tbRl"/>
            <w:vAlign w:val="bottom"/>
          </w:tcPr>
          <w:p w:rsidR="001D382A" w:rsidRPr="004D4EF2" w:rsidRDefault="001D382A" w:rsidP="001D382A">
            <w:pPr>
              <w:pStyle w:val="Brdtext"/>
              <w:ind w:left="113" w:right="113"/>
              <w:rPr>
                <w:b/>
                <w:sz w:val="20"/>
              </w:rPr>
            </w:pPr>
            <w:r w:rsidRPr="004D4EF2">
              <w:rPr>
                <w:b/>
                <w:sz w:val="20"/>
              </w:rPr>
              <w:t>KTH</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MIT</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Auckland University of Technology</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Göteborg</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Aalto</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Ålborg</w:t>
            </w:r>
          </w:p>
        </w:tc>
        <w:tc>
          <w:tcPr>
            <w:tcW w:w="722" w:type="dxa"/>
            <w:textDirection w:val="tbRl"/>
            <w:vAlign w:val="bottom"/>
          </w:tcPr>
          <w:p w:rsidR="001D382A" w:rsidRPr="004D4EF2" w:rsidRDefault="001D382A" w:rsidP="001D382A">
            <w:pPr>
              <w:pStyle w:val="Brdtext"/>
              <w:ind w:left="113" w:right="113"/>
              <w:rPr>
                <w:b/>
                <w:sz w:val="20"/>
              </w:rPr>
            </w:pPr>
            <w:r w:rsidRPr="004D4EF2">
              <w:rPr>
                <w:b/>
                <w:sz w:val="20"/>
              </w:rPr>
              <w:t>Waterloo</w:t>
            </w:r>
          </w:p>
        </w:tc>
        <w:tc>
          <w:tcPr>
            <w:tcW w:w="722" w:type="dxa"/>
            <w:textDirection w:val="tbRl"/>
            <w:vAlign w:val="bottom"/>
          </w:tcPr>
          <w:p w:rsidR="001D382A" w:rsidRPr="004D4EF2" w:rsidRDefault="001D382A" w:rsidP="001D382A">
            <w:pPr>
              <w:pStyle w:val="Brdtext"/>
              <w:ind w:left="113" w:right="113"/>
              <w:rPr>
                <w:b/>
                <w:sz w:val="20"/>
              </w:rPr>
            </w:pPr>
            <w:proofErr w:type="spellStart"/>
            <w:r>
              <w:rPr>
                <w:b/>
                <w:sz w:val="20"/>
              </w:rPr>
              <w:t>Strathclyde</w:t>
            </w:r>
            <w:proofErr w:type="spellEnd"/>
          </w:p>
        </w:tc>
        <w:tc>
          <w:tcPr>
            <w:tcW w:w="722" w:type="dxa"/>
            <w:textDirection w:val="tbRl"/>
          </w:tcPr>
          <w:p w:rsidR="001D382A" w:rsidRDefault="001D382A" w:rsidP="001D382A">
            <w:pPr>
              <w:pStyle w:val="Brdtext"/>
              <w:ind w:left="113" w:right="113"/>
              <w:rPr>
                <w:b/>
                <w:sz w:val="20"/>
              </w:rPr>
            </w:pPr>
            <w:r>
              <w:rPr>
                <w:b/>
                <w:sz w:val="20"/>
              </w:rPr>
              <w:t>Trinity College</w:t>
            </w:r>
          </w:p>
        </w:tc>
        <w:tc>
          <w:tcPr>
            <w:tcW w:w="722" w:type="dxa"/>
            <w:textDirection w:val="tbRl"/>
          </w:tcPr>
          <w:p w:rsidR="001D382A" w:rsidRDefault="001D382A" w:rsidP="001D382A">
            <w:pPr>
              <w:pStyle w:val="Brdtext"/>
              <w:ind w:left="113" w:right="113"/>
              <w:rPr>
                <w:b/>
                <w:sz w:val="20"/>
              </w:rPr>
            </w:pPr>
            <w:r>
              <w:rPr>
                <w:b/>
                <w:sz w:val="20"/>
              </w:rPr>
              <w:t>UPC</w:t>
            </w:r>
          </w:p>
        </w:tc>
        <w:tc>
          <w:tcPr>
            <w:tcW w:w="964" w:type="dxa"/>
            <w:textDirection w:val="tbRl"/>
          </w:tcPr>
          <w:p w:rsidR="001D382A" w:rsidRDefault="001D382A" w:rsidP="001D382A">
            <w:pPr>
              <w:pStyle w:val="Brdtext"/>
              <w:ind w:left="113" w:right="113"/>
              <w:rPr>
                <w:b/>
                <w:sz w:val="20"/>
              </w:rPr>
            </w:pPr>
            <w:r>
              <w:rPr>
                <w:b/>
                <w:sz w:val="20"/>
              </w:rPr>
              <w:t>Queensland University of Technology</w:t>
            </w:r>
          </w:p>
        </w:tc>
        <w:tc>
          <w:tcPr>
            <w:tcW w:w="722" w:type="dxa"/>
            <w:textDirection w:val="tbRl"/>
          </w:tcPr>
          <w:p w:rsidR="001D382A" w:rsidRDefault="0098622E" w:rsidP="001D382A">
            <w:pPr>
              <w:pStyle w:val="Brdtext"/>
              <w:ind w:left="113" w:right="113"/>
              <w:rPr>
                <w:b/>
                <w:sz w:val="20"/>
              </w:rPr>
            </w:pPr>
            <w:r>
              <w:rPr>
                <w:b/>
                <w:sz w:val="20"/>
              </w:rPr>
              <w:t>École</w:t>
            </w:r>
            <w:r w:rsidR="001D382A">
              <w:rPr>
                <w:b/>
                <w:sz w:val="20"/>
              </w:rPr>
              <w:t xml:space="preserve"> Polytechnique</w:t>
            </w:r>
          </w:p>
        </w:tc>
      </w:tr>
      <w:tr w:rsidR="001D382A" w:rsidTr="0098622E">
        <w:tc>
          <w:tcPr>
            <w:tcW w:w="1660" w:type="dxa"/>
          </w:tcPr>
          <w:p w:rsidR="001D382A" w:rsidRDefault="00135DEB" w:rsidP="002E7082">
            <w:pPr>
              <w:pStyle w:val="Brdtext"/>
            </w:pPr>
            <w:r w:rsidRPr="002E6DD4">
              <w:rPr>
                <w:lang w:val="en-US"/>
              </w:rPr>
              <w:lastRenderedPageBreak/>
              <w:t>S</w:t>
            </w:r>
            <w:r>
              <w:rPr>
                <w:lang w:val="en-US"/>
              </w:rPr>
              <w:t>DG</w:t>
            </w:r>
            <w:r w:rsidR="00DF093A">
              <w:rPr>
                <w:lang w:val="en-US"/>
              </w:rPr>
              <w:t xml:space="preserve"> </w:t>
            </w:r>
            <w:r w:rsidR="001D382A">
              <w:t xml:space="preserve">4 </w:t>
            </w:r>
            <w:proofErr w:type="spellStart"/>
            <w:r w:rsidR="001D382A">
              <w:t>Quality</w:t>
            </w:r>
            <w:proofErr w:type="spellEnd"/>
            <w:r w:rsidR="001D382A">
              <w:t xml:space="preserve"> </w:t>
            </w:r>
            <w:proofErr w:type="spellStart"/>
            <w:r w:rsidR="001D382A">
              <w:t>Education</w:t>
            </w:r>
            <w:proofErr w:type="spellEnd"/>
            <w:r w:rsidR="001D382A">
              <w:t xml:space="preserve">: rank </w:t>
            </w:r>
            <w:r w:rsidR="001D382A" w:rsidRPr="00555941">
              <w:rPr>
                <w:b/>
              </w:rPr>
              <w:t>301–400</w:t>
            </w:r>
          </w:p>
        </w:tc>
        <w:tc>
          <w:tcPr>
            <w:tcW w:w="722" w:type="dxa"/>
          </w:tcPr>
          <w:p w:rsidR="001D382A" w:rsidRDefault="001D382A" w:rsidP="001D382A">
            <w:pPr>
              <w:pStyle w:val="Brdtext"/>
            </w:pPr>
            <w:r>
              <w:t>…</w:t>
            </w:r>
          </w:p>
        </w:tc>
        <w:tc>
          <w:tcPr>
            <w:tcW w:w="722" w:type="dxa"/>
          </w:tcPr>
          <w:p w:rsidR="001D382A" w:rsidRDefault="001D382A" w:rsidP="001D382A">
            <w:pPr>
              <w:pStyle w:val="Brdtext"/>
            </w:pPr>
            <w:r>
              <w:t>68</w:t>
            </w:r>
          </w:p>
        </w:tc>
        <w:tc>
          <w:tcPr>
            <w:tcW w:w="722" w:type="dxa"/>
          </w:tcPr>
          <w:p w:rsidR="001D382A" w:rsidRDefault="001D382A" w:rsidP="001D382A">
            <w:pPr>
              <w:pStyle w:val="Brdtext"/>
            </w:pPr>
            <w:r>
              <w:t>30</w:t>
            </w:r>
          </w:p>
        </w:tc>
        <w:tc>
          <w:tcPr>
            <w:tcW w:w="722" w:type="dxa"/>
          </w:tcPr>
          <w:p w:rsidR="001D382A" w:rsidRDefault="001D382A" w:rsidP="001D382A">
            <w:pPr>
              <w:pStyle w:val="Brdtext"/>
            </w:pPr>
            <w:r>
              <w:t>101-200</w:t>
            </w:r>
          </w:p>
        </w:tc>
        <w:tc>
          <w:tcPr>
            <w:tcW w:w="722" w:type="dxa"/>
          </w:tcPr>
          <w:p w:rsidR="001D382A" w:rsidRDefault="001D382A" w:rsidP="001D382A">
            <w:pPr>
              <w:pStyle w:val="Brdtext"/>
            </w:pPr>
            <w:r>
              <w:t>1</w:t>
            </w:r>
          </w:p>
        </w:tc>
        <w:tc>
          <w:tcPr>
            <w:tcW w:w="722" w:type="dxa"/>
          </w:tcPr>
          <w:p w:rsidR="001D382A" w:rsidRDefault="001D382A" w:rsidP="001D382A">
            <w:pPr>
              <w:pStyle w:val="Brdtext"/>
            </w:pPr>
            <w:r>
              <w:t>201-300</w:t>
            </w:r>
          </w:p>
        </w:tc>
        <w:tc>
          <w:tcPr>
            <w:tcW w:w="722" w:type="dxa"/>
          </w:tcPr>
          <w:p w:rsidR="001D382A" w:rsidRDefault="001D382A" w:rsidP="001D382A">
            <w:pPr>
              <w:pStyle w:val="Brdtext"/>
            </w:pPr>
            <w:r>
              <w:t>101-200</w:t>
            </w:r>
          </w:p>
        </w:tc>
        <w:tc>
          <w:tcPr>
            <w:tcW w:w="722" w:type="dxa"/>
          </w:tcPr>
          <w:p w:rsidR="001D382A" w:rsidRDefault="001D382A" w:rsidP="001D382A">
            <w:pPr>
              <w:pStyle w:val="Brdtext"/>
            </w:pPr>
            <w:r>
              <w:t>…</w:t>
            </w:r>
          </w:p>
        </w:tc>
        <w:tc>
          <w:tcPr>
            <w:tcW w:w="722" w:type="dxa"/>
          </w:tcPr>
          <w:p w:rsidR="001D382A" w:rsidRDefault="001D382A" w:rsidP="001D382A">
            <w:pPr>
              <w:pStyle w:val="Brdtext"/>
            </w:pPr>
            <w:r>
              <w:t>101-200</w:t>
            </w:r>
          </w:p>
        </w:tc>
        <w:tc>
          <w:tcPr>
            <w:tcW w:w="964" w:type="dxa"/>
          </w:tcPr>
          <w:p w:rsidR="001D382A" w:rsidRDefault="001D382A" w:rsidP="001D382A">
            <w:pPr>
              <w:pStyle w:val="Brdtext"/>
            </w:pPr>
            <w:r>
              <w:t>53</w:t>
            </w:r>
          </w:p>
        </w:tc>
        <w:tc>
          <w:tcPr>
            <w:tcW w:w="722" w:type="dxa"/>
          </w:tcPr>
          <w:p w:rsidR="001D382A" w:rsidRDefault="001D382A" w:rsidP="001D382A">
            <w:pPr>
              <w:pStyle w:val="Brdtext"/>
            </w:pPr>
            <w:r>
              <w:t>…</w:t>
            </w:r>
          </w:p>
        </w:tc>
      </w:tr>
      <w:tr w:rsidR="001D382A" w:rsidTr="0098622E">
        <w:tc>
          <w:tcPr>
            <w:tcW w:w="1660" w:type="dxa"/>
          </w:tcPr>
          <w:p w:rsidR="001D382A" w:rsidRPr="002E6DD4" w:rsidRDefault="00135DEB" w:rsidP="001D382A">
            <w:pPr>
              <w:pStyle w:val="Brdtext"/>
              <w:rPr>
                <w:lang w:val="en-US"/>
              </w:rPr>
            </w:pPr>
            <w:r w:rsidRPr="002E6DD4">
              <w:rPr>
                <w:lang w:val="en-US"/>
              </w:rPr>
              <w:t>S</w:t>
            </w:r>
            <w:r>
              <w:rPr>
                <w:lang w:val="en-US"/>
              </w:rPr>
              <w:t>DG</w:t>
            </w:r>
            <w:r w:rsidR="00DF093A">
              <w:rPr>
                <w:lang w:val="en-US"/>
              </w:rPr>
              <w:t xml:space="preserve"> </w:t>
            </w:r>
            <w:r w:rsidR="001D382A">
              <w:rPr>
                <w:lang w:val="en-US"/>
              </w:rPr>
              <w:t xml:space="preserve">5 Gender Equality: rank </w:t>
            </w:r>
            <w:r w:rsidR="001D382A" w:rsidRPr="00555941">
              <w:rPr>
                <w:b/>
                <w:lang w:val="en-US"/>
              </w:rPr>
              <w:t>201–300</w:t>
            </w:r>
          </w:p>
        </w:tc>
        <w:tc>
          <w:tcPr>
            <w:tcW w:w="722" w:type="dxa"/>
          </w:tcPr>
          <w:p w:rsidR="001D382A" w:rsidRPr="002E6DD4" w:rsidRDefault="001D382A" w:rsidP="001D382A">
            <w:pPr>
              <w:pStyle w:val="Brdtext"/>
              <w:rPr>
                <w:lang w:val="en-US"/>
              </w:rPr>
            </w:pPr>
            <w:r>
              <w:rPr>
                <w:lang w:val="en-US"/>
              </w:rPr>
              <w:t>201-300</w:t>
            </w:r>
          </w:p>
        </w:tc>
        <w:tc>
          <w:tcPr>
            <w:tcW w:w="722" w:type="dxa"/>
          </w:tcPr>
          <w:p w:rsidR="001D382A" w:rsidRPr="002E6DD4" w:rsidRDefault="001D382A" w:rsidP="001D382A">
            <w:pPr>
              <w:pStyle w:val="Brdtext"/>
              <w:rPr>
                <w:lang w:val="en-US"/>
              </w:rPr>
            </w:pPr>
            <w:r>
              <w:rPr>
                <w:lang w:val="en-US"/>
              </w:rPr>
              <w:t>11</w:t>
            </w:r>
          </w:p>
        </w:tc>
        <w:tc>
          <w:tcPr>
            <w:tcW w:w="722" w:type="dxa"/>
          </w:tcPr>
          <w:p w:rsidR="001D382A" w:rsidRPr="002E6DD4" w:rsidRDefault="001D382A" w:rsidP="001D382A">
            <w:pPr>
              <w:pStyle w:val="Brdtext"/>
              <w:rPr>
                <w:lang w:val="en-US"/>
              </w:rPr>
            </w:pPr>
            <w:r>
              <w:rPr>
                <w:lang w:val="en-US"/>
              </w:rPr>
              <w:t>14</w:t>
            </w:r>
          </w:p>
        </w:tc>
        <w:tc>
          <w:tcPr>
            <w:tcW w:w="722" w:type="dxa"/>
          </w:tcPr>
          <w:p w:rsidR="001D382A" w:rsidRPr="002E6DD4" w:rsidRDefault="001D382A" w:rsidP="001D382A">
            <w:pPr>
              <w:pStyle w:val="Brdtext"/>
              <w:rPr>
                <w:lang w:val="en-US"/>
              </w:rPr>
            </w:pPr>
            <w:r>
              <w:rPr>
                <w:lang w:val="en-US"/>
              </w:rPr>
              <w:t>201-300</w:t>
            </w:r>
          </w:p>
        </w:tc>
        <w:tc>
          <w:tcPr>
            <w:tcW w:w="722" w:type="dxa"/>
          </w:tcPr>
          <w:p w:rsidR="001D382A" w:rsidRPr="002E6DD4" w:rsidRDefault="001D382A" w:rsidP="001D382A">
            <w:pPr>
              <w:pStyle w:val="Brdtext"/>
              <w:rPr>
                <w:lang w:val="en-US"/>
              </w:rPr>
            </w:pPr>
            <w:r>
              <w:rPr>
                <w:lang w:val="en-US"/>
              </w:rPr>
              <w:t>101-200</w:t>
            </w:r>
          </w:p>
        </w:tc>
        <w:tc>
          <w:tcPr>
            <w:tcW w:w="722" w:type="dxa"/>
          </w:tcPr>
          <w:p w:rsidR="001D382A" w:rsidRPr="002E6DD4" w:rsidRDefault="001D382A" w:rsidP="001D382A">
            <w:pPr>
              <w:pStyle w:val="Brdtext"/>
              <w:rPr>
                <w:lang w:val="en-US"/>
              </w:rPr>
            </w:pPr>
            <w:r>
              <w:rPr>
                <w:lang w:val="en-US"/>
              </w:rPr>
              <w:t>101-200</w:t>
            </w:r>
          </w:p>
        </w:tc>
        <w:tc>
          <w:tcPr>
            <w:tcW w:w="722" w:type="dxa"/>
          </w:tcPr>
          <w:p w:rsidR="001D382A" w:rsidRDefault="001D382A" w:rsidP="001D382A">
            <w:pPr>
              <w:pStyle w:val="Brdtext"/>
              <w:rPr>
                <w:lang w:val="en-US"/>
              </w:rPr>
            </w:pPr>
            <w:r>
              <w:rPr>
                <w:lang w:val="en-US"/>
              </w:rPr>
              <w:t>101-200</w:t>
            </w:r>
          </w:p>
        </w:tc>
        <w:tc>
          <w:tcPr>
            <w:tcW w:w="722" w:type="dxa"/>
          </w:tcPr>
          <w:p w:rsidR="001D382A" w:rsidRDefault="001D382A" w:rsidP="001D382A">
            <w:pPr>
              <w:pStyle w:val="Brdtext"/>
              <w:rPr>
                <w:lang w:val="en-US"/>
              </w:rPr>
            </w:pPr>
            <w:r>
              <w:rPr>
                <w:lang w:val="en-US"/>
              </w:rPr>
              <w:t>3</w:t>
            </w:r>
          </w:p>
        </w:tc>
        <w:tc>
          <w:tcPr>
            <w:tcW w:w="722" w:type="dxa"/>
          </w:tcPr>
          <w:p w:rsidR="001D382A" w:rsidRDefault="001D382A" w:rsidP="001D382A">
            <w:pPr>
              <w:pStyle w:val="Brdtext"/>
              <w:rPr>
                <w:lang w:val="en-US"/>
              </w:rPr>
            </w:pPr>
            <w:r>
              <w:rPr>
                <w:lang w:val="en-US"/>
              </w:rPr>
              <w:t>201-300</w:t>
            </w:r>
          </w:p>
        </w:tc>
        <w:tc>
          <w:tcPr>
            <w:tcW w:w="964" w:type="dxa"/>
          </w:tcPr>
          <w:p w:rsidR="001D382A" w:rsidRDefault="001D382A" w:rsidP="001D382A">
            <w:pPr>
              <w:pStyle w:val="Brdtext"/>
              <w:rPr>
                <w:lang w:val="en-US"/>
              </w:rPr>
            </w:pPr>
            <w:r>
              <w:rPr>
                <w:lang w:val="en-US"/>
              </w:rPr>
              <w:t>42</w:t>
            </w:r>
          </w:p>
        </w:tc>
        <w:tc>
          <w:tcPr>
            <w:tcW w:w="722" w:type="dxa"/>
          </w:tcPr>
          <w:p w:rsidR="001D382A" w:rsidRDefault="001D382A" w:rsidP="001D382A">
            <w:pPr>
              <w:pStyle w:val="Brdtext"/>
              <w:rPr>
                <w:lang w:val="en-US"/>
              </w:rPr>
            </w:pPr>
            <w:r>
              <w:rPr>
                <w:lang w:val="en-US"/>
              </w:rPr>
              <w:t>…</w:t>
            </w:r>
          </w:p>
        </w:tc>
      </w:tr>
      <w:tr w:rsidR="001D382A" w:rsidTr="0098622E">
        <w:tc>
          <w:tcPr>
            <w:tcW w:w="1660" w:type="dxa"/>
          </w:tcPr>
          <w:p w:rsidR="001D382A" w:rsidRPr="00621733" w:rsidRDefault="00135DEB" w:rsidP="001D382A">
            <w:pPr>
              <w:pStyle w:val="Brdtext"/>
              <w:rPr>
                <w:lang w:val="en-US"/>
              </w:rPr>
            </w:pPr>
            <w:r w:rsidRPr="002E6DD4">
              <w:rPr>
                <w:lang w:val="en-US"/>
              </w:rPr>
              <w:t>S</w:t>
            </w:r>
            <w:r>
              <w:rPr>
                <w:lang w:val="en-US"/>
              </w:rPr>
              <w:t>DG</w:t>
            </w:r>
            <w:r w:rsidR="00DF093A">
              <w:rPr>
                <w:lang w:val="en-US"/>
              </w:rPr>
              <w:t xml:space="preserve"> </w:t>
            </w:r>
            <w:r w:rsidR="001D382A">
              <w:rPr>
                <w:lang w:val="en-US"/>
              </w:rPr>
              <w:t xml:space="preserve">6 Clean Water and Sanitation: rank </w:t>
            </w:r>
            <w:r w:rsidR="001D382A" w:rsidRPr="0040336E">
              <w:rPr>
                <w:b/>
                <w:lang w:val="en-US"/>
              </w:rPr>
              <w:t>101–200</w:t>
            </w:r>
          </w:p>
        </w:tc>
        <w:tc>
          <w:tcPr>
            <w:tcW w:w="722" w:type="dxa"/>
          </w:tcPr>
          <w:p w:rsidR="001D382A" w:rsidRPr="002E6DD4" w:rsidRDefault="001D382A" w:rsidP="001D382A">
            <w:pPr>
              <w:pStyle w:val="Brdtext"/>
              <w:rPr>
                <w:lang w:val="en-US"/>
              </w:rPr>
            </w:pPr>
            <w:r>
              <w:rPr>
                <w:lang w:val="en-US"/>
              </w:rPr>
              <w:t>28</w:t>
            </w:r>
          </w:p>
        </w:tc>
        <w:tc>
          <w:tcPr>
            <w:tcW w:w="722" w:type="dxa"/>
          </w:tcPr>
          <w:p w:rsidR="001D382A" w:rsidRPr="002E6DD4" w:rsidRDefault="001D382A" w:rsidP="001D382A">
            <w:pPr>
              <w:pStyle w:val="Brdtext"/>
              <w:rPr>
                <w:lang w:val="en-US"/>
              </w:rPr>
            </w:pPr>
            <w:r>
              <w:rPr>
                <w:lang w:val="en-US"/>
              </w:rPr>
              <w:t>…</w:t>
            </w:r>
          </w:p>
        </w:tc>
        <w:tc>
          <w:tcPr>
            <w:tcW w:w="722" w:type="dxa"/>
          </w:tcPr>
          <w:p w:rsidR="001D382A" w:rsidRPr="002E6DD4" w:rsidRDefault="001D382A" w:rsidP="001D382A">
            <w:pPr>
              <w:pStyle w:val="Brdtext"/>
              <w:rPr>
                <w:lang w:val="en-US"/>
              </w:rPr>
            </w:pPr>
            <w:r>
              <w:rPr>
                <w:lang w:val="en-US"/>
              </w:rPr>
              <w:t>…</w:t>
            </w:r>
          </w:p>
        </w:tc>
        <w:tc>
          <w:tcPr>
            <w:tcW w:w="722" w:type="dxa"/>
          </w:tcPr>
          <w:p w:rsidR="001D382A" w:rsidRPr="002E6DD4" w:rsidRDefault="001D382A" w:rsidP="001D382A">
            <w:pPr>
              <w:pStyle w:val="Brdtext"/>
              <w:rPr>
                <w:lang w:val="en-US"/>
              </w:rPr>
            </w:pPr>
            <w:r>
              <w:rPr>
                <w:lang w:val="en-US"/>
              </w:rPr>
              <w:t>101-200</w:t>
            </w:r>
          </w:p>
        </w:tc>
        <w:tc>
          <w:tcPr>
            <w:tcW w:w="722" w:type="dxa"/>
          </w:tcPr>
          <w:p w:rsidR="001D382A" w:rsidRPr="002E6DD4" w:rsidRDefault="001D382A" w:rsidP="001D382A">
            <w:pPr>
              <w:pStyle w:val="Brdtext"/>
              <w:rPr>
                <w:lang w:val="en-US"/>
              </w:rPr>
            </w:pPr>
            <w:r>
              <w:rPr>
                <w:lang w:val="en-US"/>
              </w:rPr>
              <w:t>46</w:t>
            </w:r>
          </w:p>
        </w:tc>
        <w:tc>
          <w:tcPr>
            <w:tcW w:w="722" w:type="dxa"/>
          </w:tcPr>
          <w:p w:rsidR="001D382A" w:rsidRPr="002E6DD4" w:rsidRDefault="001D382A" w:rsidP="001D382A">
            <w:pPr>
              <w:pStyle w:val="Brdtext"/>
              <w:rPr>
                <w:lang w:val="en-US"/>
              </w:rPr>
            </w:pPr>
            <w:r>
              <w:rPr>
                <w:lang w:val="en-US"/>
              </w:rPr>
              <w:t>51</w:t>
            </w:r>
          </w:p>
        </w:tc>
        <w:tc>
          <w:tcPr>
            <w:tcW w:w="722" w:type="dxa"/>
          </w:tcPr>
          <w:p w:rsidR="001D382A" w:rsidRDefault="001D382A" w:rsidP="001D382A">
            <w:pPr>
              <w:pStyle w:val="Brdtext"/>
              <w:rPr>
                <w:lang w:val="en-US"/>
              </w:rPr>
            </w:pPr>
            <w:r>
              <w:rPr>
                <w:lang w:val="en-US"/>
              </w:rPr>
              <w:t>10</w:t>
            </w:r>
          </w:p>
        </w:tc>
        <w:tc>
          <w:tcPr>
            <w:tcW w:w="722" w:type="dxa"/>
          </w:tcPr>
          <w:p w:rsidR="001D382A" w:rsidRDefault="001D382A" w:rsidP="001D382A">
            <w:pPr>
              <w:pStyle w:val="Brdtext"/>
              <w:rPr>
                <w:lang w:val="en-US"/>
              </w:rPr>
            </w:pPr>
            <w:r>
              <w:rPr>
                <w:lang w:val="en-US"/>
              </w:rPr>
              <w:t>…</w:t>
            </w:r>
          </w:p>
        </w:tc>
        <w:tc>
          <w:tcPr>
            <w:tcW w:w="722" w:type="dxa"/>
          </w:tcPr>
          <w:p w:rsidR="001D382A" w:rsidRDefault="001D382A" w:rsidP="001D382A">
            <w:pPr>
              <w:pStyle w:val="Brdtext"/>
              <w:rPr>
                <w:lang w:val="en-US"/>
              </w:rPr>
            </w:pPr>
            <w:r>
              <w:rPr>
                <w:lang w:val="en-US"/>
              </w:rPr>
              <w:t>101-200</w:t>
            </w:r>
          </w:p>
        </w:tc>
        <w:tc>
          <w:tcPr>
            <w:tcW w:w="964" w:type="dxa"/>
          </w:tcPr>
          <w:p w:rsidR="001D382A" w:rsidRDefault="001D382A" w:rsidP="001D382A">
            <w:pPr>
              <w:pStyle w:val="Brdtext"/>
              <w:rPr>
                <w:lang w:val="en-US"/>
              </w:rPr>
            </w:pPr>
            <w:r>
              <w:rPr>
                <w:lang w:val="en-US"/>
              </w:rPr>
              <w:t>25</w:t>
            </w:r>
          </w:p>
        </w:tc>
        <w:tc>
          <w:tcPr>
            <w:tcW w:w="722" w:type="dxa"/>
          </w:tcPr>
          <w:p w:rsidR="001D382A" w:rsidRDefault="001D382A" w:rsidP="001D382A">
            <w:pPr>
              <w:pStyle w:val="Brdtext"/>
              <w:rPr>
                <w:lang w:val="en-US"/>
              </w:rPr>
            </w:pPr>
            <w:r>
              <w:rPr>
                <w:lang w:val="en-US"/>
              </w:rPr>
              <w:t>…</w:t>
            </w:r>
          </w:p>
        </w:tc>
      </w:tr>
      <w:tr w:rsidR="001D382A" w:rsidTr="0098622E">
        <w:tc>
          <w:tcPr>
            <w:tcW w:w="1660" w:type="dxa"/>
          </w:tcPr>
          <w:p w:rsidR="001D382A" w:rsidRPr="00621733" w:rsidRDefault="00135DEB" w:rsidP="00135DEB">
            <w:pPr>
              <w:pStyle w:val="Brdtext"/>
              <w:rPr>
                <w:lang w:val="en-US"/>
              </w:rPr>
            </w:pPr>
            <w:r w:rsidRPr="002E6DD4">
              <w:rPr>
                <w:lang w:val="en-US"/>
              </w:rPr>
              <w:t>S</w:t>
            </w:r>
            <w:r>
              <w:rPr>
                <w:lang w:val="en-US"/>
              </w:rPr>
              <w:t>DG</w:t>
            </w:r>
            <w:r w:rsidR="00DF093A">
              <w:rPr>
                <w:lang w:val="en-US"/>
              </w:rPr>
              <w:t xml:space="preserve"> </w:t>
            </w:r>
            <w:r w:rsidR="001D382A">
              <w:rPr>
                <w:lang w:val="en-US"/>
              </w:rPr>
              <w:t xml:space="preserve">9 </w:t>
            </w:r>
            <w:r w:rsidR="001D382A" w:rsidRPr="00621733">
              <w:rPr>
                <w:lang w:val="en-US"/>
              </w:rPr>
              <w:t>Industry</w:t>
            </w:r>
            <w:r w:rsidR="001D382A">
              <w:rPr>
                <w:lang w:val="en-US"/>
              </w:rPr>
              <w:t xml:space="preserve">, Innovation and Infrastructure: rank </w:t>
            </w:r>
            <w:r w:rsidR="001D382A" w:rsidRPr="0040336E">
              <w:rPr>
                <w:b/>
                <w:lang w:val="en-US"/>
              </w:rPr>
              <w:t>101–200</w:t>
            </w:r>
          </w:p>
        </w:tc>
        <w:tc>
          <w:tcPr>
            <w:tcW w:w="722" w:type="dxa"/>
          </w:tcPr>
          <w:p w:rsidR="001D382A" w:rsidRPr="002E6DD4" w:rsidRDefault="001D382A" w:rsidP="001D382A">
            <w:pPr>
              <w:pStyle w:val="Brdtext"/>
              <w:rPr>
                <w:lang w:val="en-US"/>
              </w:rPr>
            </w:pPr>
            <w:r>
              <w:rPr>
                <w:lang w:val="en-US"/>
              </w:rPr>
              <w:t>48</w:t>
            </w:r>
          </w:p>
        </w:tc>
        <w:tc>
          <w:tcPr>
            <w:tcW w:w="722" w:type="dxa"/>
          </w:tcPr>
          <w:p w:rsidR="001D382A" w:rsidRPr="002E6DD4" w:rsidRDefault="001D382A" w:rsidP="001D382A">
            <w:pPr>
              <w:pStyle w:val="Brdtext"/>
              <w:rPr>
                <w:lang w:val="en-US"/>
              </w:rPr>
            </w:pPr>
            <w:r>
              <w:rPr>
                <w:lang w:val="en-US"/>
              </w:rPr>
              <w:t>…</w:t>
            </w:r>
          </w:p>
        </w:tc>
        <w:tc>
          <w:tcPr>
            <w:tcW w:w="722" w:type="dxa"/>
          </w:tcPr>
          <w:p w:rsidR="001D382A" w:rsidRPr="002E6DD4" w:rsidRDefault="001D382A" w:rsidP="001D382A">
            <w:pPr>
              <w:pStyle w:val="Brdtext"/>
              <w:rPr>
                <w:lang w:val="en-US"/>
              </w:rPr>
            </w:pPr>
            <w:r>
              <w:rPr>
                <w:lang w:val="en-US"/>
              </w:rPr>
              <w:t>…</w:t>
            </w:r>
          </w:p>
        </w:tc>
        <w:tc>
          <w:tcPr>
            <w:tcW w:w="722" w:type="dxa"/>
          </w:tcPr>
          <w:p w:rsidR="001D382A" w:rsidRPr="002E6DD4" w:rsidRDefault="001D382A" w:rsidP="001D382A">
            <w:pPr>
              <w:pStyle w:val="Brdtext"/>
              <w:rPr>
                <w:lang w:val="en-US"/>
              </w:rPr>
            </w:pPr>
            <w:r>
              <w:rPr>
                <w:lang w:val="en-US"/>
              </w:rPr>
              <w:t>5</w:t>
            </w:r>
          </w:p>
        </w:tc>
        <w:tc>
          <w:tcPr>
            <w:tcW w:w="722" w:type="dxa"/>
          </w:tcPr>
          <w:p w:rsidR="001D382A" w:rsidRPr="002E6DD4" w:rsidRDefault="001D382A" w:rsidP="001D382A">
            <w:pPr>
              <w:pStyle w:val="Brdtext"/>
              <w:rPr>
                <w:lang w:val="en-US"/>
              </w:rPr>
            </w:pPr>
            <w:r>
              <w:rPr>
                <w:lang w:val="en-US"/>
              </w:rPr>
              <w:t>24</w:t>
            </w:r>
          </w:p>
        </w:tc>
        <w:tc>
          <w:tcPr>
            <w:tcW w:w="722" w:type="dxa"/>
          </w:tcPr>
          <w:p w:rsidR="001D382A" w:rsidRPr="002E6DD4" w:rsidRDefault="001D382A" w:rsidP="001D382A">
            <w:pPr>
              <w:pStyle w:val="Brdtext"/>
              <w:rPr>
                <w:lang w:val="en-US"/>
              </w:rPr>
            </w:pPr>
            <w:r>
              <w:rPr>
                <w:lang w:val="en-US"/>
              </w:rPr>
              <w:t>22</w:t>
            </w:r>
          </w:p>
        </w:tc>
        <w:tc>
          <w:tcPr>
            <w:tcW w:w="722" w:type="dxa"/>
          </w:tcPr>
          <w:p w:rsidR="001D382A" w:rsidRDefault="001D382A" w:rsidP="001D382A">
            <w:pPr>
              <w:pStyle w:val="Brdtext"/>
              <w:rPr>
                <w:lang w:val="en-US"/>
              </w:rPr>
            </w:pPr>
            <w:r>
              <w:rPr>
                <w:lang w:val="en-US"/>
              </w:rPr>
              <w:t>63</w:t>
            </w:r>
          </w:p>
        </w:tc>
        <w:tc>
          <w:tcPr>
            <w:tcW w:w="722" w:type="dxa"/>
          </w:tcPr>
          <w:p w:rsidR="001D382A" w:rsidRDefault="001D382A" w:rsidP="001D382A">
            <w:pPr>
              <w:pStyle w:val="Brdtext"/>
              <w:rPr>
                <w:lang w:val="en-US"/>
              </w:rPr>
            </w:pPr>
            <w:r>
              <w:rPr>
                <w:lang w:val="en-US"/>
              </w:rPr>
              <w:t>29</w:t>
            </w:r>
          </w:p>
        </w:tc>
        <w:tc>
          <w:tcPr>
            <w:tcW w:w="722" w:type="dxa"/>
          </w:tcPr>
          <w:p w:rsidR="001D382A" w:rsidRDefault="001D382A" w:rsidP="001D382A">
            <w:pPr>
              <w:pStyle w:val="Brdtext"/>
              <w:rPr>
                <w:lang w:val="en-US"/>
              </w:rPr>
            </w:pPr>
            <w:r>
              <w:rPr>
                <w:lang w:val="en-US"/>
              </w:rPr>
              <w:t>84</w:t>
            </w:r>
          </w:p>
        </w:tc>
        <w:tc>
          <w:tcPr>
            <w:tcW w:w="964" w:type="dxa"/>
          </w:tcPr>
          <w:p w:rsidR="001D382A" w:rsidRDefault="001D382A" w:rsidP="001D382A">
            <w:pPr>
              <w:pStyle w:val="Brdtext"/>
              <w:rPr>
                <w:lang w:val="en-US"/>
              </w:rPr>
            </w:pPr>
            <w:r>
              <w:rPr>
                <w:lang w:val="en-US"/>
              </w:rPr>
              <w:t>101-200</w:t>
            </w:r>
          </w:p>
        </w:tc>
        <w:tc>
          <w:tcPr>
            <w:tcW w:w="722" w:type="dxa"/>
          </w:tcPr>
          <w:p w:rsidR="001D382A" w:rsidRDefault="001D382A" w:rsidP="001D382A">
            <w:pPr>
              <w:pStyle w:val="Brdtext"/>
              <w:rPr>
                <w:lang w:val="en-US"/>
              </w:rPr>
            </w:pPr>
            <w:r>
              <w:rPr>
                <w:lang w:val="en-US"/>
              </w:rPr>
              <w:t>21</w:t>
            </w:r>
          </w:p>
        </w:tc>
      </w:tr>
      <w:tr w:rsidR="001D382A" w:rsidTr="0098622E">
        <w:tc>
          <w:tcPr>
            <w:tcW w:w="1660" w:type="dxa"/>
          </w:tcPr>
          <w:p w:rsidR="001D382A" w:rsidRPr="00621733" w:rsidRDefault="00135DEB" w:rsidP="001D382A">
            <w:pPr>
              <w:pStyle w:val="Brdtext"/>
              <w:rPr>
                <w:lang w:val="en-US"/>
              </w:rPr>
            </w:pPr>
            <w:r w:rsidRPr="002E6DD4">
              <w:rPr>
                <w:lang w:val="en-US"/>
              </w:rPr>
              <w:t>S</w:t>
            </w:r>
            <w:r>
              <w:rPr>
                <w:lang w:val="en-US"/>
              </w:rPr>
              <w:t>DG</w:t>
            </w:r>
            <w:r w:rsidR="00DF093A">
              <w:rPr>
                <w:lang w:val="en-US"/>
              </w:rPr>
              <w:t xml:space="preserve"> </w:t>
            </w:r>
            <w:r w:rsidR="001D382A">
              <w:rPr>
                <w:lang w:val="en-US"/>
              </w:rPr>
              <w:t xml:space="preserve">10 Reduced Inequalities: rank </w:t>
            </w:r>
            <w:r w:rsidR="001D382A" w:rsidRPr="0040336E">
              <w:rPr>
                <w:b/>
                <w:lang w:val="en-US"/>
              </w:rPr>
              <w:t>201–300</w:t>
            </w:r>
          </w:p>
        </w:tc>
        <w:tc>
          <w:tcPr>
            <w:tcW w:w="722" w:type="dxa"/>
          </w:tcPr>
          <w:p w:rsidR="001D382A" w:rsidRPr="002E6DD4" w:rsidRDefault="001D382A" w:rsidP="001D382A">
            <w:pPr>
              <w:pStyle w:val="Brdtext"/>
              <w:rPr>
                <w:lang w:val="en-US"/>
              </w:rPr>
            </w:pPr>
            <w:r>
              <w:rPr>
                <w:lang w:val="en-US"/>
              </w:rPr>
              <w:t>29</w:t>
            </w:r>
          </w:p>
        </w:tc>
        <w:tc>
          <w:tcPr>
            <w:tcW w:w="722" w:type="dxa"/>
          </w:tcPr>
          <w:p w:rsidR="001D382A" w:rsidRPr="002E6DD4" w:rsidRDefault="001D382A" w:rsidP="001D382A">
            <w:pPr>
              <w:pStyle w:val="Brdtext"/>
              <w:rPr>
                <w:lang w:val="en-US"/>
              </w:rPr>
            </w:pPr>
            <w:r>
              <w:rPr>
                <w:lang w:val="en-US"/>
              </w:rPr>
              <w:t>95</w:t>
            </w:r>
          </w:p>
        </w:tc>
        <w:tc>
          <w:tcPr>
            <w:tcW w:w="722" w:type="dxa"/>
          </w:tcPr>
          <w:p w:rsidR="001D382A" w:rsidRPr="002E6DD4" w:rsidRDefault="001D382A" w:rsidP="001D382A">
            <w:pPr>
              <w:pStyle w:val="Brdtext"/>
              <w:rPr>
                <w:lang w:val="en-US"/>
              </w:rPr>
            </w:pPr>
            <w:r>
              <w:rPr>
                <w:lang w:val="en-US"/>
              </w:rPr>
              <w:t>99</w:t>
            </w:r>
          </w:p>
        </w:tc>
        <w:tc>
          <w:tcPr>
            <w:tcW w:w="722" w:type="dxa"/>
          </w:tcPr>
          <w:p w:rsidR="001D382A" w:rsidRPr="002E6DD4" w:rsidRDefault="001D382A" w:rsidP="001D382A">
            <w:pPr>
              <w:pStyle w:val="Brdtext"/>
              <w:rPr>
                <w:lang w:val="en-US"/>
              </w:rPr>
            </w:pPr>
            <w:r>
              <w:rPr>
                <w:lang w:val="en-US"/>
              </w:rPr>
              <w:t>89</w:t>
            </w:r>
          </w:p>
        </w:tc>
        <w:tc>
          <w:tcPr>
            <w:tcW w:w="722" w:type="dxa"/>
          </w:tcPr>
          <w:p w:rsidR="001D382A" w:rsidRPr="002E6DD4" w:rsidRDefault="001D382A" w:rsidP="001D382A">
            <w:pPr>
              <w:pStyle w:val="Brdtext"/>
              <w:rPr>
                <w:lang w:val="en-US"/>
              </w:rPr>
            </w:pPr>
            <w:r>
              <w:rPr>
                <w:lang w:val="en-US"/>
              </w:rPr>
              <w:t>…</w:t>
            </w:r>
          </w:p>
        </w:tc>
        <w:tc>
          <w:tcPr>
            <w:tcW w:w="722" w:type="dxa"/>
          </w:tcPr>
          <w:p w:rsidR="001D382A" w:rsidRPr="002E6DD4" w:rsidRDefault="001D382A" w:rsidP="001D382A">
            <w:pPr>
              <w:pStyle w:val="Brdtext"/>
              <w:rPr>
                <w:lang w:val="en-US"/>
              </w:rPr>
            </w:pPr>
            <w:r>
              <w:rPr>
                <w:lang w:val="en-US"/>
              </w:rPr>
              <w:t>19</w:t>
            </w:r>
          </w:p>
        </w:tc>
        <w:tc>
          <w:tcPr>
            <w:tcW w:w="722" w:type="dxa"/>
          </w:tcPr>
          <w:p w:rsidR="001D382A" w:rsidRDefault="001D382A" w:rsidP="001D382A">
            <w:pPr>
              <w:pStyle w:val="Brdtext"/>
              <w:rPr>
                <w:lang w:val="en-US"/>
              </w:rPr>
            </w:pPr>
            <w:r>
              <w:rPr>
                <w:lang w:val="en-US"/>
              </w:rPr>
              <w:t>12</w:t>
            </w:r>
          </w:p>
        </w:tc>
        <w:tc>
          <w:tcPr>
            <w:tcW w:w="722" w:type="dxa"/>
          </w:tcPr>
          <w:p w:rsidR="001D382A" w:rsidRDefault="001D382A" w:rsidP="001D382A">
            <w:pPr>
              <w:pStyle w:val="Brdtext"/>
              <w:rPr>
                <w:lang w:val="en-US"/>
              </w:rPr>
            </w:pPr>
            <w:r>
              <w:rPr>
                <w:lang w:val="en-US"/>
              </w:rPr>
              <w:t>6</w:t>
            </w:r>
          </w:p>
        </w:tc>
        <w:tc>
          <w:tcPr>
            <w:tcW w:w="722" w:type="dxa"/>
          </w:tcPr>
          <w:p w:rsidR="001D382A" w:rsidRDefault="001D382A" w:rsidP="001D382A">
            <w:pPr>
              <w:pStyle w:val="Brdtext"/>
              <w:rPr>
                <w:lang w:val="en-US"/>
              </w:rPr>
            </w:pPr>
            <w:r>
              <w:rPr>
                <w:lang w:val="en-US"/>
              </w:rPr>
              <w:t>101-200</w:t>
            </w:r>
          </w:p>
        </w:tc>
        <w:tc>
          <w:tcPr>
            <w:tcW w:w="964" w:type="dxa"/>
          </w:tcPr>
          <w:p w:rsidR="001D382A" w:rsidRDefault="001D382A" w:rsidP="001D382A">
            <w:pPr>
              <w:pStyle w:val="Brdtext"/>
              <w:rPr>
                <w:lang w:val="en-US"/>
              </w:rPr>
            </w:pPr>
            <w:r>
              <w:rPr>
                <w:lang w:val="en-US"/>
              </w:rPr>
              <w:t>101-200</w:t>
            </w:r>
          </w:p>
        </w:tc>
        <w:tc>
          <w:tcPr>
            <w:tcW w:w="722" w:type="dxa"/>
          </w:tcPr>
          <w:p w:rsidR="001D382A" w:rsidRDefault="001D382A" w:rsidP="001D382A">
            <w:pPr>
              <w:pStyle w:val="Brdtext"/>
              <w:rPr>
                <w:lang w:val="en-US"/>
              </w:rPr>
            </w:pPr>
            <w:r>
              <w:rPr>
                <w:lang w:val="en-US"/>
              </w:rPr>
              <w:t>…</w:t>
            </w:r>
          </w:p>
        </w:tc>
      </w:tr>
    </w:tbl>
    <w:p w:rsidR="00F241D2" w:rsidRDefault="00F241D2" w:rsidP="00CD4BA9">
      <w:pPr>
        <w:pStyle w:val="Brdtext"/>
      </w:pPr>
    </w:p>
    <w:p w:rsidR="00C4684B" w:rsidRDefault="00C4684B" w:rsidP="00C4684B">
      <w:pPr>
        <w:pStyle w:val="Brdtext"/>
      </w:pPr>
      <w:r>
        <w:t>Inom ovanstående mål har KTH haft svårt att hävda sig, framför allt inom mål</w:t>
      </w:r>
      <w:r w:rsidR="002E7082">
        <w:t xml:space="preserve"> </w:t>
      </w:r>
      <w:r w:rsidRPr="00395A3A">
        <w:t>4</w:t>
      </w:r>
      <w:r>
        <w:t xml:space="preserve"> </w:t>
      </w:r>
      <w:proofErr w:type="spellStart"/>
      <w:r>
        <w:t>Quality</w:t>
      </w:r>
      <w:proofErr w:type="spellEnd"/>
      <w:r>
        <w:t xml:space="preserve"> </w:t>
      </w:r>
      <w:proofErr w:type="spellStart"/>
      <w:r>
        <w:t>Education</w:t>
      </w:r>
      <w:proofErr w:type="spellEnd"/>
      <w:r w:rsidR="00DF093A">
        <w:t xml:space="preserve"> rank 301-400</w:t>
      </w:r>
      <w:r>
        <w:t>, mål</w:t>
      </w:r>
      <w:r w:rsidR="002E7082">
        <w:t xml:space="preserve"> </w:t>
      </w:r>
      <w:r w:rsidR="00DF093A">
        <w:t>5</w:t>
      </w:r>
      <w:r>
        <w:t xml:space="preserve"> </w:t>
      </w:r>
      <w:r w:rsidR="00DF093A">
        <w:t xml:space="preserve">Gender </w:t>
      </w:r>
      <w:proofErr w:type="spellStart"/>
      <w:r w:rsidR="00DF093A">
        <w:t>Equality</w:t>
      </w:r>
      <w:proofErr w:type="spellEnd"/>
      <w:r w:rsidR="00DF093A">
        <w:t xml:space="preserve"> rank 201-300</w:t>
      </w:r>
      <w:r>
        <w:t xml:space="preserve"> och mål</w:t>
      </w:r>
      <w:r w:rsidR="00303641">
        <w:t xml:space="preserve"> </w:t>
      </w:r>
      <w:r>
        <w:t xml:space="preserve">10 </w:t>
      </w:r>
      <w:proofErr w:type="spellStart"/>
      <w:r>
        <w:t>Reduced</w:t>
      </w:r>
      <w:proofErr w:type="spellEnd"/>
      <w:r>
        <w:t xml:space="preserve"> </w:t>
      </w:r>
      <w:proofErr w:type="spellStart"/>
      <w:r>
        <w:t>Inequalities</w:t>
      </w:r>
      <w:proofErr w:type="spellEnd"/>
      <w:r w:rsidR="00DF093A">
        <w:t xml:space="preserve"> rank 201-300</w:t>
      </w:r>
      <w:r>
        <w:t>.</w:t>
      </w:r>
    </w:p>
    <w:p w:rsidR="00C4684B" w:rsidRDefault="00C4684B" w:rsidP="00C4684B">
      <w:pPr>
        <w:pStyle w:val="Brdtext"/>
      </w:pPr>
      <w:r>
        <w:t xml:space="preserve">KTH:s mindre framträdande positionering inom dessa områden beror inte på att vi generellt eller kvalitetsmässigt är svaga inom dessa mål, utan snarare på att vi har liten forskning och/ eller liten eller ingen utbildning inom dessa områden, att vi inte har policys/ riktlinjer inom vissa områden som är vanligare i andra länder och där vi i några fall istället hänvisar till svensk lagstiftning samt att vi har bristande dokumentation, ibland på grund av lagstiftning,  inom vissa områden/ indikatorer. </w:t>
      </w:r>
    </w:p>
    <w:p w:rsidR="00955C20" w:rsidRDefault="003E6CA2" w:rsidP="002C5E88">
      <w:pPr>
        <w:pStyle w:val="Brdtext"/>
      </w:pPr>
      <w:r>
        <w:t xml:space="preserve">Härutöver </w:t>
      </w:r>
      <w:r w:rsidR="00F130BE">
        <w:t>kommer</w:t>
      </w:r>
      <w:r w:rsidR="00D44B85">
        <w:t xml:space="preserve"> att vi fördrar att bedriva samarbeten med industrin i form </w:t>
      </w:r>
      <w:r w:rsidR="00395A3A">
        <w:t>av in natura</w:t>
      </w:r>
      <w:r w:rsidR="00D44B85">
        <w:t xml:space="preserve"> än i </w:t>
      </w:r>
      <w:r>
        <w:t xml:space="preserve">kontanta </w:t>
      </w:r>
      <w:r w:rsidR="00D44B85">
        <w:t>pengar (det</w:t>
      </w:r>
      <w:r w:rsidR="001D1402">
        <w:t>ta</w:t>
      </w:r>
      <w:r w:rsidR="00D44B85">
        <w:t xml:space="preserve"> </w:t>
      </w:r>
      <w:r w:rsidR="00C4684B">
        <w:t>torde</w:t>
      </w:r>
      <w:r w:rsidR="00D44B85">
        <w:t xml:space="preserve"> även förekomma på andra håll, frågan är i vilken grad vi eventuellt är missgynnade), </w:t>
      </w:r>
      <w:r w:rsidR="0098622E">
        <w:t>b</w:t>
      </w:r>
      <w:r w:rsidR="001D1402">
        <w:t xml:space="preserve">rister sett till </w:t>
      </w:r>
      <w:r w:rsidR="00395A3A">
        <w:t>inrapportering</w:t>
      </w:r>
      <w:r w:rsidR="002C5E88">
        <w:t xml:space="preserve"> samt</w:t>
      </w:r>
      <w:r w:rsidR="00D44B85">
        <w:t xml:space="preserve"> </w:t>
      </w:r>
      <w:r w:rsidR="00395A3A">
        <w:t xml:space="preserve">könsstrukturer beroende på </w:t>
      </w:r>
      <w:r>
        <w:t xml:space="preserve">universitetets </w:t>
      </w:r>
      <w:r w:rsidR="00395A3A">
        <w:t>ämnesinri</w:t>
      </w:r>
      <w:r w:rsidR="00FF40E8">
        <w:t>ktning.</w:t>
      </w:r>
      <w:r w:rsidR="002C5E88" w:rsidRPr="002C5E88">
        <w:t xml:space="preserve"> </w:t>
      </w:r>
      <w:r w:rsidR="002C5E88">
        <w:t xml:space="preserve">Rankningen premierar positiv särbehandling och föredrar att lärosätet bedriver åtgärder i egen regi framför i </w:t>
      </w:r>
      <w:r w:rsidR="00820529">
        <w:t>offentlig</w:t>
      </w:r>
      <w:r w:rsidR="002C5E88">
        <w:t>.</w:t>
      </w:r>
      <w:r>
        <w:t xml:space="preserve"> </w:t>
      </w:r>
    </w:p>
    <w:p w:rsidR="003B1075" w:rsidRDefault="003E6CA2" w:rsidP="002C5E88">
      <w:pPr>
        <w:pStyle w:val="Brdtext"/>
      </w:pPr>
      <w:r>
        <w:t xml:space="preserve">Notabelt är att om man presterar mindre bra inom en enstaka indikator/ underindikator medför detta att man tappar relativt mycket sett till ligaplaceringar. </w:t>
      </w:r>
      <w:r w:rsidR="003B1075">
        <w:br w:type="page"/>
      </w:r>
    </w:p>
    <w:p w:rsidR="000F4F01" w:rsidRDefault="003B1075" w:rsidP="000F4F01">
      <w:pPr>
        <w:pStyle w:val="Rubrik2"/>
      </w:pPr>
      <w:bookmarkStart w:id="17" w:name="_Toc63236568"/>
      <w:r>
        <w:lastRenderedPageBreak/>
        <w:t>Avslutning</w:t>
      </w:r>
      <w:bookmarkEnd w:id="17"/>
    </w:p>
    <w:p w:rsidR="00C4684B" w:rsidRDefault="00C4684B" w:rsidP="00C4684B">
      <w:pPr>
        <w:pStyle w:val="Brdtext"/>
      </w:pPr>
      <w:r>
        <w:t>THE Impact Rankings riktar sig mot FN:s globala mål och har inför den andra upplagan av denna rankning utökats m</w:t>
      </w:r>
      <w:r w:rsidR="00F7445D">
        <w:t>ed sex nya mål av de totalt 17</w:t>
      </w:r>
      <w:r>
        <w:t>, flera universitet har tillkommit samt några metodologiska korrigeringar har genomförts.</w:t>
      </w:r>
    </w:p>
    <w:p w:rsidR="009D6F88" w:rsidRDefault="00C4684B" w:rsidP="00C4684B">
      <w:pPr>
        <w:pStyle w:val="Brdtext"/>
      </w:pPr>
      <w:r>
        <w:t xml:space="preserve">Vissa länder och lärosäten presterar bättre inom vissa mål än andra, framför allt  beroende på specialisering och ämnesmässig relevans. Några universitet från Sydostasien och Syd- och Mellanamerika presterar mycket bra inom enstaka mål, men har svårare att hävda sig i den totala rankningen. </w:t>
      </w:r>
    </w:p>
    <w:p w:rsidR="00C4684B" w:rsidRDefault="00F130BE" w:rsidP="000F4F01">
      <w:pPr>
        <w:pStyle w:val="Brdtext"/>
      </w:pPr>
      <w:r>
        <w:t xml:space="preserve">Notabelt </w:t>
      </w:r>
      <w:r w:rsidR="001320A6">
        <w:t xml:space="preserve">är att det är ytterst få universitet som är bra inom samtliga </w:t>
      </w:r>
      <w:r w:rsidR="00BA0FEF">
        <w:t>globala mål</w:t>
      </w:r>
      <w:r w:rsidR="001320A6">
        <w:t xml:space="preserve">, </w:t>
      </w:r>
      <w:r w:rsidR="00C4684B">
        <w:t>även om det kan vara vanskligt att dra alltför generaliserande slutsatser härom, då det är stora skillnader sett till hur många globala mål  som respektive universitet rapporterat in data om. Några tongivande universitet som Delft och Imperial College har endast rapporterat in underlag för enstaka globala mål och deltar inte i den totala rankningen. Från forskningsmässigt tongivande länder som Tyskland har endast två universitet deltagit i den totala rankningen liksom fyra holländska tre schweiziska, två svenska, två danska och ett belgiskt samt ett norskt.</w:t>
      </w:r>
    </w:p>
    <w:p w:rsidR="00BA0FEF" w:rsidRDefault="00BA0FEF" w:rsidP="00BA0FEF">
      <w:pPr>
        <w:pStyle w:val="Brdtext"/>
      </w:pPr>
      <w:r>
        <w:t>De traditionellt framstående universiteten presterar ofta bra inom de bibliometriska indikatorerna samt inom de globala mål som passar dels universitetets forsknings- och utbildningsprofil dels hur mycket av det interna arbetet kring detta prioriterats liksom tillgängligheten av dokumentation samt att det bedriva arbetet kan redovisas i enlighet med den mall och tänkesätt som bestämts av THE.</w:t>
      </w:r>
    </w:p>
    <w:p w:rsidR="00753164" w:rsidRPr="00820529" w:rsidRDefault="00753164" w:rsidP="000F4F01">
      <w:pPr>
        <w:pStyle w:val="Brdtext"/>
      </w:pPr>
      <w:r w:rsidRPr="00753164">
        <w:rPr>
          <w:lang w:val="en-US"/>
        </w:rPr>
        <w:t xml:space="preserve">KTH </w:t>
      </w:r>
      <w:proofErr w:type="spellStart"/>
      <w:r w:rsidRPr="00753164">
        <w:rPr>
          <w:lang w:val="en-US"/>
        </w:rPr>
        <w:t>framhäver</w:t>
      </w:r>
      <w:proofErr w:type="spellEnd"/>
      <w:r w:rsidRPr="00753164">
        <w:rPr>
          <w:lang w:val="en-US"/>
        </w:rPr>
        <w:t xml:space="preserve"> sig </w:t>
      </w:r>
      <w:proofErr w:type="spellStart"/>
      <w:r w:rsidRPr="00753164">
        <w:rPr>
          <w:lang w:val="en-US"/>
        </w:rPr>
        <w:t>främst</w:t>
      </w:r>
      <w:proofErr w:type="spellEnd"/>
      <w:r w:rsidRPr="00753164">
        <w:rPr>
          <w:lang w:val="en-US"/>
        </w:rPr>
        <w:t xml:space="preserve"> </w:t>
      </w:r>
      <w:proofErr w:type="spellStart"/>
      <w:r w:rsidRPr="00753164">
        <w:rPr>
          <w:lang w:val="en-US"/>
        </w:rPr>
        <w:t>inom</w:t>
      </w:r>
      <w:proofErr w:type="spellEnd"/>
      <w:r w:rsidRPr="00753164">
        <w:rPr>
          <w:lang w:val="en-US"/>
        </w:rPr>
        <w:t xml:space="preserve"> </w:t>
      </w:r>
      <w:proofErr w:type="spellStart"/>
      <w:r w:rsidR="002E7082">
        <w:rPr>
          <w:lang w:val="en-US"/>
        </w:rPr>
        <w:t>mål</w:t>
      </w:r>
      <w:proofErr w:type="spellEnd"/>
      <w:r w:rsidR="002E7082">
        <w:rPr>
          <w:lang w:val="en-US"/>
        </w:rPr>
        <w:t xml:space="preserve"> </w:t>
      </w:r>
      <w:r>
        <w:rPr>
          <w:lang w:val="en-US"/>
        </w:rPr>
        <w:t xml:space="preserve">7 </w:t>
      </w:r>
      <w:r w:rsidRPr="002E6DD4">
        <w:rPr>
          <w:lang w:val="en-US"/>
        </w:rPr>
        <w:t>Affordable and Clean Energy</w:t>
      </w:r>
      <w:r>
        <w:rPr>
          <w:lang w:val="en-US"/>
        </w:rPr>
        <w:t xml:space="preserve"> rank, </w:t>
      </w:r>
      <w:proofErr w:type="spellStart"/>
      <w:r w:rsidR="002E7082">
        <w:rPr>
          <w:lang w:val="en-US"/>
        </w:rPr>
        <w:t>mål</w:t>
      </w:r>
      <w:proofErr w:type="spellEnd"/>
      <w:r w:rsidR="002E7082">
        <w:rPr>
          <w:lang w:val="en-US"/>
        </w:rPr>
        <w:t xml:space="preserve"> </w:t>
      </w:r>
      <w:r>
        <w:rPr>
          <w:lang w:val="en-US"/>
        </w:rPr>
        <w:t xml:space="preserve">8 Decent Work and Economic Growth rank, </w:t>
      </w:r>
      <w:proofErr w:type="spellStart"/>
      <w:r w:rsidR="002E7082">
        <w:rPr>
          <w:lang w:val="en-US"/>
        </w:rPr>
        <w:t>mål</w:t>
      </w:r>
      <w:proofErr w:type="spellEnd"/>
      <w:r w:rsidR="002E7082">
        <w:rPr>
          <w:lang w:val="en-US"/>
        </w:rPr>
        <w:t xml:space="preserve"> </w:t>
      </w:r>
      <w:r w:rsidRPr="00753164">
        <w:rPr>
          <w:lang w:val="en-US"/>
        </w:rPr>
        <w:t>11 Sustainable Cities and Communities</w:t>
      </w:r>
      <w:r>
        <w:rPr>
          <w:lang w:val="en-US"/>
        </w:rPr>
        <w:t xml:space="preserve">, </w:t>
      </w:r>
      <w:proofErr w:type="spellStart"/>
      <w:r w:rsidR="002E7082">
        <w:rPr>
          <w:lang w:val="en-US"/>
        </w:rPr>
        <w:t>mål</w:t>
      </w:r>
      <w:proofErr w:type="spellEnd"/>
      <w:r w:rsidR="002E7082">
        <w:rPr>
          <w:lang w:val="en-US"/>
        </w:rPr>
        <w:t xml:space="preserve"> </w:t>
      </w:r>
      <w:r w:rsidRPr="00753164">
        <w:rPr>
          <w:lang w:val="en-US"/>
        </w:rPr>
        <w:t>12 Responsible Consumption and P</w:t>
      </w:r>
      <w:r w:rsidR="002E7082">
        <w:rPr>
          <w:lang w:val="en-US"/>
        </w:rPr>
        <w:t xml:space="preserve">roduction, </w:t>
      </w:r>
      <w:proofErr w:type="spellStart"/>
      <w:r w:rsidR="002E7082">
        <w:rPr>
          <w:lang w:val="en-US"/>
        </w:rPr>
        <w:t>mål</w:t>
      </w:r>
      <w:proofErr w:type="spellEnd"/>
      <w:r w:rsidR="002E7082">
        <w:rPr>
          <w:lang w:val="en-US"/>
        </w:rPr>
        <w:t xml:space="preserve"> </w:t>
      </w:r>
      <w:r w:rsidR="00A83BDD">
        <w:rPr>
          <w:lang w:val="en-US"/>
        </w:rPr>
        <w:t>13 Climate Action</w:t>
      </w:r>
      <w:r w:rsidRPr="00753164">
        <w:rPr>
          <w:lang w:val="en-US"/>
        </w:rPr>
        <w:t xml:space="preserve"> </w:t>
      </w:r>
      <w:proofErr w:type="spellStart"/>
      <w:r>
        <w:rPr>
          <w:lang w:val="en-US"/>
        </w:rPr>
        <w:t>och</w:t>
      </w:r>
      <w:proofErr w:type="spellEnd"/>
      <w:r>
        <w:rPr>
          <w:lang w:val="en-US"/>
        </w:rPr>
        <w:t xml:space="preserve"> </w:t>
      </w:r>
      <w:proofErr w:type="spellStart"/>
      <w:r w:rsidR="002E7082">
        <w:rPr>
          <w:lang w:val="en-US"/>
        </w:rPr>
        <w:t>mål</w:t>
      </w:r>
      <w:proofErr w:type="spellEnd"/>
      <w:r w:rsidR="002E7082">
        <w:rPr>
          <w:lang w:val="en-US"/>
        </w:rPr>
        <w:t xml:space="preserve"> </w:t>
      </w:r>
      <w:r>
        <w:rPr>
          <w:lang w:val="en-US"/>
        </w:rPr>
        <w:t>15</w:t>
      </w:r>
      <w:r w:rsidRPr="002E6DD4">
        <w:rPr>
          <w:lang w:val="en-US"/>
        </w:rPr>
        <w:t xml:space="preserve"> Life on Land</w:t>
      </w:r>
      <w:r w:rsidRPr="00753164">
        <w:rPr>
          <w:lang w:val="en-US"/>
        </w:rPr>
        <w:t xml:space="preserve"> </w:t>
      </w:r>
      <w:proofErr w:type="spellStart"/>
      <w:r w:rsidRPr="00753164">
        <w:rPr>
          <w:lang w:val="en-US"/>
        </w:rPr>
        <w:t>samt</w:t>
      </w:r>
      <w:proofErr w:type="spellEnd"/>
      <w:r w:rsidRPr="00753164">
        <w:rPr>
          <w:lang w:val="en-US"/>
        </w:rPr>
        <w:t xml:space="preserve"> </w:t>
      </w:r>
      <w:proofErr w:type="spellStart"/>
      <w:r w:rsidR="002E7082">
        <w:rPr>
          <w:lang w:val="en-US"/>
        </w:rPr>
        <w:t>mål</w:t>
      </w:r>
      <w:proofErr w:type="spellEnd"/>
      <w:r w:rsidRPr="00753164">
        <w:rPr>
          <w:lang w:val="en-US"/>
        </w:rPr>
        <w:t xml:space="preserve"> </w:t>
      </w:r>
      <w:r>
        <w:rPr>
          <w:lang w:val="en-US"/>
        </w:rPr>
        <w:t>Partnership for the Goals</w:t>
      </w:r>
      <w:r w:rsidRPr="00753164">
        <w:rPr>
          <w:lang w:val="en-US"/>
        </w:rPr>
        <w:t xml:space="preserve"> 17.</w:t>
      </w:r>
      <w:r w:rsidR="00820529">
        <w:rPr>
          <w:lang w:val="en-US"/>
        </w:rPr>
        <w:t xml:space="preserve"> </w:t>
      </w:r>
      <w:r w:rsidR="00820529" w:rsidRPr="00820529">
        <w:t xml:space="preserve">Inom dessa områden bedriver KTH vanligen slagkraftig forskning, utbildning </w:t>
      </w:r>
      <w:r w:rsidR="00820529">
        <w:t>och</w:t>
      </w:r>
      <w:r w:rsidR="00820529" w:rsidRPr="00820529">
        <w:t xml:space="preserve">, </w:t>
      </w:r>
      <w:r w:rsidR="00820529">
        <w:t>i de flesta</w:t>
      </w:r>
      <w:r w:rsidR="00820529" w:rsidRPr="00820529">
        <w:t xml:space="preserve"> fall</w:t>
      </w:r>
      <w:r w:rsidR="00820529">
        <w:t>,</w:t>
      </w:r>
      <w:r w:rsidR="00820529" w:rsidRPr="00820529">
        <w:t xml:space="preserve"> driver omfångsrik ver</w:t>
      </w:r>
      <w:r w:rsidR="00820529">
        <w:t>ksamhet med genomförda åtgärder.</w:t>
      </w:r>
    </w:p>
    <w:p w:rsidR="009D6F88" w:rsidRDefault="00820529" w:rsidP="009D6F88">
      <w:pPr>
        <w:pStyle w:val="Brdtext"/>
      </w:pPr>
      <w:r w:rsidRPr="002E7082">
        <w:t>Mindre fra</w:t>
      </w:r>
      <w:r w:rsidR="00753164" w:rsidRPr="002E7082">
        <w:t>mträdande hävdar sig KTH inom</w:t>
      </w:r>
      <w:r w:rsidR="00303641">
        <w:t xml:space="preserve"> </w:t>
      </w:r>
      <w:r w:rsidR="002E7082" w:rsidRPr="002E7082">
        <w:t xml:space="preserve">mål </w:t>
      </w:r>
      <w:r w:rsidR="00753164" w:rsidRPr="002E7082">
        <w:t xml:space="preserve">4 </w:t>
      </w:r>
      <w:proofErr w:type="spellStart"/>
      <w:r w:rsidR="00753164" w:rsidRPr="002E7082">
        <w:t>Quality</w:t>
      </w:r>
      <w:proofErr w:type="spellEnd"/>
      <w:r w:rsidR="00753164" w:rsidRPr="002E7082">
        <w:t xml:space="preserve"> </w:t>
      </w:r>
      <w:proofErr w:type="spellStart"/>
      <w:r w:rsidR="00753164" w:rsidRPr="002E7082">
        <w:t>Education</w:t>
      </w:r>
      <w:proofErr w:type="spellEnd"/>
      <w:r w:rsidR="00753164" w:rsidRPr="002E7082">
        <w:t xml:space="preserve">, </w:t>
      </w:r>
      <w:r w:rsidR="002E7082">
        <w:t xml:space="preserve">mål </w:t>
      </w:r>
      <w:r w:rsidR="00753164" w:rsidRPr="002E7082">
        <w:t xml:space="preserve">5 Gender </w:t>
      </w:r>
      <w:proofErr w:type="spellStart"/>
      <w:r w:rsidR="00753164" w:rsidRPr="002E7082">
        <w:t>Equality</w:t>
      </w:r>
      <w:proofErr w:type="spellEnd"/>
      <w:r w:rsidR="00753164" w:rsidRPr="002E7082">
        <w:t xml:space="preserve">, </w:t>
      </w:r>
      <w:r w:rsidR="002E7082">
        <w:t xml:space="preserve">mål 6 Clean </w:t>
      </w:r>
      <w:proofErr w:type="spellStart"/>
      <w:r w:rsidR="002E7082">
        <w:t>Water</w:t>
      </w:r>
      <w:proofErr w:type="spellEnd"/>
      <w:r w:rsidR="002E7082">
        <w:t xml:space="preserve"> and </w:t>
      </w:r>
      <w:proofErr w:type="spellStart"/>
      <w:r w:rsidR="002E7082">
        <w:t>Sanitation</w:t>
      </w:r>
      <w:proofErr w:type="spellEnd"/>
      <w:r w:rsidR="002E7082">
        <w:t xml:space="preserve">, mål </w:t>
      </w:r>
      <w:r w:rsidR="00753164" w:rsidRPr="002E7082">
        <w:t xml:space="preserve">9 Industry, Innovation and </w:t>
      </w:r>
      <w:proofErr w:type="spellStart"/>
      <w:r w:rsidR="00753164" w:rsidRPr="002E7082">
        <w:t>Infrastructure</w:t>
      </w:r>
      <w:proofErr w:type="spellEnd"/>
      <w:r w:rsidR="00753164" w:rsidRPr="002E7082">
        <w:t xml:space="preserve"> och </w:t>
      </w:r>
      <w:r w:rsidR="002E7082">
        <w:t xml:space="preserve">mål </w:t>
      </w:r>
      <w:r w:rsidR="00753164" w:rsidRPr="002E7082">
        <w:t xml:space="preserve">10 </w:t>
      </w:r>
      <w:proofErr w:type="spellStart"/>
      <w:r w:rsidR="00753164" w:rsidRPr="002E7082">
        <w:t>Reduced</w:t>
      </w:r>
      <w:proofErr w:type="spellEnd"/>
      <w:r w:rsidR="00753164" w:rsidRPr="002E7082">
        <w:t xml:space="preserve"> </w:t>
      </w:r>
      <w:proofErr w:type="spellStart"/>
      <w:r w:rsidR="00753164" w:rsidRPr="002E7082">
        <w:t>Inequalities</w:t>
      </w:r>
      <w:proofErr w:type="spellEnd"/>
      <w:r w:rsidR="00753164" w:rsidRPr="002E7082">
        <w:t>.</w:t>
      </w:r>
      <w:r w:rsidRPr="002E7082">
        <w:t xml:space="preserve"> </w:t>
      </w:r>
    </w:p>
    <w:p w:rsidR="009D6F88" w:rsidRPr="00820529" w:rsidRDefault="009D6F88" w:rsidP="000F4F01">
      <w:pPr>
        <w:pStyle w:val="Brdtext"/>
      </w:pPr>
      <w:r>
        <w:t xml:space="preserve">KTH:s mindre framträdande positionering inom dessa områden beror inte på att vi generellt eller kvalitetsmässigt är svaga inom dessa mål, utan snarare på att vi har liten forskning och/ eller liten eller ingen utbildning inom dessa områden. Härtill kan adderas </w:t>
      </w:r>
      <w:r w:rsidR="00820529" w:rsidRPr="00820529">
        <w:t>att vi inte bedriver någon omfångsrik utbildning mot grundskolan, att vi bedriver viss verksamhet i offentlig regi och inte i egen reg</w:t>
      </w:r>
      <w:r w:rsidR="00820529">
        <w:t>i, att vi inte har gjort särskilt</w:t>
      </w:r>
      <w:r w:rsidR="00820529" w:rsidRPr="00820529">
        <w:t xml:space="preserve"> mycket inom visa områden, existerande köns</w:t>
      </w:r>
      <w:r>
        <w:t>strukturer, att vi inte tagit</w:t>
      </w:r>
      <w:r w:rsidR="00820529">
        <w:t xml:space="preserve"> </w:t>
      </w:r>
      <w:r w:rsidR="00135DEB">
        <w:t>fram riktlinjer</w:t>
      </w:r>
      <w:r w:rsidR="00820529" w:rsidRPr="00820529">
        <w:t>/ policys inom vissa områden</w:t>
      </w:r>
      <w:r w:rsidR="00820529">
        <w:t xml:space="preserve">, rådande ämnessamansättning och att vi presterat svagt i en enstaka indikator samt bristande dokumentation, bland annat på grund av rådande lagstiftning.  </w:t>
      </w:r>
    </w:p>
    <w:p w:rsidR="000F4F01" w:rsidRDefault="000F4F01" w:rsidP="000F4F01">
      <w:pPr>
        <w:pStyle w:val="Brdtext"/>
      </w:pPr>
      <w:r>
        <w:t>Rankningen premierar</w:t>
      </w:r>
      <w:r w:rsidR="009F1986">
        <w:t>,</w:t>
      </w:r>
      <w:r>
        <w:t xml:space="preserve"> </w:t>
      </w:r>
      <w:r w:rsidR="00753164">
        <w:t>som sagt</w:t>
      </w:r>
      <w:r w:rsidR="009F1986">
        <w:t>,</w:t>
      </w:r>
      <w:r w:rsidR="00753164">
        <w:t xml:space="preserve"> </w:t>
      </w:r>
      <w:r>
        <w:t>insatser som görs på eget initiativ och av universitetet själv snarare än åtgärder som beslutats via lagstiftning och/ eller genomförs i offentlig</w:t>
      </w:r>
      <w:r w:rsidR="00FB6161">
        <w:t xml:space="preserve"> eller annan</w:t>
      </w:r>
      <w:r>
        <w:t xml:space="preserve"> regi. Exempel på detta är att det är bättre att ha </w:t>
      </w:r>
      <w:proofErr w:type="gramStart"/>
      <w:r>
        <w:t>egna policys</w:t>
      </w:r>
      <w:proofErr w:type="gramEnd"/>
      <w:r w:rsidR="00FB6161">
        <w:t>/ riktlinjer</w:t>
      </w:r>
      <w:r>
        <w:t xml:space="preserve"> än att hänvisa till befintlig lagstiftning samt att det är bättre att ha en egen förskola än en offentlig. </w:t>
      </w:r>
      <w:r w:rsidR="006358B4">
        <w:t>Rank</w:t>
      </w:r>
      <w:r w:rsidR="00192C0E">
        <w:t>n</w:t>
      </w:r>
      <w:r w:rsidR="006358B4">
        <w:t xml:space="preserve">ingen bygger på maximen att lagstiftningen utmynnar i en särskild policy eller riktlinje som därefter omsätts i praktiken med reella åtgärder. </w:t>
      </w:r>
      <w:r>
        <w:t xml:space="preserve">En annan problematik är att svensk lagstiftning söker säkerställa lika rättigheter för samtliga medborgare, snarare än att säkerställa positiv särbehandling för olika grupper, vilket denna rankning premierar. </w:t>
      </w:r>
    </w:p>
    <w:p w:rsidR="00753164" w:rsidRPr="008F5D9B" w:rsidRDefault="000F4F01" w:rsidP="006848FB">
      <w:pPr>
        <w:pStyle w:val="Brdtext"/>
      </w:pPr>
      <w:r>
        <w:lastRenderedPageBreak/>
        <w:t>I egenskap av ett forskningstungt tekniskt universitet har KTH svårt att hävda sig inom områden som ligger utanför kärnverksamheten sett till forskning och utbildning</w:t>
      </w:r>
      <w:r w:rsidR="002E04C9">
        <w:t xml:space="preserve"> samt hur de</w:t>
      </w:r>
      <w:r w:rsidR="00753164">
        <w:t xml:space="preserve"> </w:t>
      </w:r>
      <w:r w:rsidR="00591A63">
        <w:t>inte</w:t>
      </w:r>
      <w:r w:rsidR="001320A6">
        <w:t>rna hållbarhetsfrågorna hanteras</w:t>
      </w:r>
      <w:r w:rsidR="002B7749">
        <w:t xml:space="preserve"> för respektive </w:t>
      </w:r>
      <w:r w:rsidR="002E7082">
        <w:t>mål</w:t>
      </w:r>
      <w:r>
        <w:t xml:space="preserve">. Rankningen gynnar bredduniversitet snarare än </w:t>
      </w:r>
      <w:r w:rsidR="00B61F0F">
        <w:t>fackuniversitet.</w:t>
      </w:r>
    </w:p>
    <w:sectPr w:rsidR="00753164" w:rsidRPr="008F5D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5F" w:rsidRDefault="00C86E5F" w:rsidP="00AB37AC">
      <w:r>
        <w:separator/>
      </w:r>
    </w:p>
  </w:endnote>
  <w:endnote w:type="continuationSeparator" w:id="0">
    <w:p w:rsidR="00C86E5F" w:rsidRDefault="00C86E5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7176"/>
      <w:docPartObj>
        <w:docPartGallery w:val="Page Numbers (Bottom of Page)"/>
        <w:docPartUnique/>
      </w:docPartObj>
    </w:sdtPr>
    <w:sdtEndPr/>
    <w:sdtContent>
      <w:p w:rsidR="003E6CA2" w:rsidRDefault="003E6CA2">
        <w:pPr>
          <w:pStyle w:val="Sidfot"/>
          <w:jc w:val="center"/>
        </w:pPr>
        <w:r>
          <w:fldChar w:fldCharType="begin"/>
        </w:r>
        <w:r>
          <w:instrText>PAGE   \* MERGEFORMAT</w:instrText>
        </w:r>
        <w:r>
          <w:fldChar w:fldCharType="separate"/>
        </w:r>
        <w:r w:rsidR="005230FA">
          <w:rPr>
            <w:noProof/>
          </w:rPr>
          <w:t>14</w:t>
        </w:r>
        <w:r>
          <w:fldChar w:fldCharType="end"/>
        </w:r>
      </w:p>
    </w:sdtContent>
  </w:sdt>
  <w:p w:rsidR="003E6CA2" w:rsidRDefault="003E6C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5F" w:rsidRDefault="00C86E5F" w:rsidP="00AB37AC">
      <w:r>
        <w:separator/>
      </w:r>
    </w:p>
  </w:footnote>
  <w:footnote w:type="continuationSeparator" w:id="0">
    <w:p w:rsidR="00C86E5F" w:rsidRDefault="00C86E5F" w:rsidP="00AB37AC">
      <w:r>
        <w:continuationSeparator/>
      </w:r>
    </w:p>
  </w:footnote>
  <w:footnote w:id="1">
    <w:p w:rsidR="003E6CA2" w:rsidRDefault="003E6CA2">
      <w:pPr>
        <w:pStyle w:val="Fotnotstext"/>
      </w:pPr>
      <w:r>
        <w:rPr>
          <w:rStyle w:val="Fotnotsreferens"/>
        </w:rPr>
        <w:footnoteRef/>
      </w:r>
      <w:r>
        <w:t xml:space="preserve"> Detta innebär att för att prestera bra inom ett specifikt mål måste man prestera bra inom samtliga indikatorer, presterar man mindre bra inom en enstaka indikator/ underindikator medför detta att man tappar relativt mycket sett till ligaplaceringar. </w:t>
      </w:r>
    </w:p>
  </w:footnote>
  <w:footnote w:id="2">
    <w:p w:rsidR="003E6CA2" w:rsidRDefault="003E6CA2" w:rsidP="00C4684B">
      <w:pPr>
        <w:pStyle w:val="Brdtext"/>
      </w:pPr>
      <w:r>
        <w:rPr>
          <w:rStyle w:val="Fotnotsreferens"/>
        </w:rPr>
        <w:footnoteRef/>
      </w:r>
      <w:r>
        <w:t xml:space="preserve"> Om man inte kan lämna något data alls, exempelvis på frågan hur många personer med funktionsnedsättning lärosätet har, tilldelas man 0 poäng, oavsett om man presenterat en giltig förklaring eller inte. Det är alltså viktigt att alltid lämna in data och att göra uppskattningar om man inte kan ge några exakta uppgifter.</w:t>
      </w:r>
    </w:p>
  </w:footnote>
  <w:footnote w:id="3">
    <w:p w:rsidR="003E6CA2" w:rsidRPr="006530EF" w:rsidRDefault="003E6CA2" w:rsidP="00416EC8">
      <w:pPr>
        <w:pStyle w:val="Fotnotstext"/>
        <w:rPr>
          <w:lang w:val="en-US"/>
        </w:rPr>
      </w:pPr>
      <w:r>
        <w:rPr>
          <w:rStyle w:val="Fotnotsreferens"/>
        </w:rPr>
        <w:footnoteRef/>
      </w:r>
      <w:r w:rsidRPr="00416EC8">
        <w:rPr>
          <w:lang w:val="en-US"/>
        </w:rPr>
        <w:t xml:space="preserve"> </w:t>
      </w:r>
      <w:proofErr w:type="spellStart"/>
      <w:r w:rsidRPr="00416EC8">
        <w:rPr>
          <w:lang w:val="en-US"/>
        </w:rPr>
        <w:t>Indikatorn</w:t>
      </w:r>
      <w:proofErr w:type="spellEnd"/>
      <w:r w:rsidRPr="00416EC8">
        <w:rPr>
          <w:lang w:val="en-US"/>
        </w:rPr>
        <w:t xml:space="preserve"> </w:t>
      </w:r>
      <w:proofErr w:type="spellStart"/>
      <w:r w:rsidRPr="00416EC8">
        <w:rPr>
          <w:lang w:val="en-US"/>
        </w:rPr>
        <w:t>består</w:t>
      </w:r>
      <w:proofErr w:type="spellEnd"/>
      <w:r w:rsidRPr="00416EC8">
        <w:rPr>
          <w:lang w:val="en-US"/>
        </w:rPr>
        <w:t xml:space="preserve"> </w:t>
      </w:r>
      <w:proofErr w:type="spellStart"/>
      <w:r w:rsidRPr="00416EC8">
        <w:rPr>
          <w:lang w:val="en-US"/>
        </w:rPr>
        <w:t>av</w:t>
      </w:r>
      <w:proofErr w:type="spellEnd"/>
      <w:r w:rsidRPr="00416EC8">
        <w:rPr>
          <w:lang w:val="en-US"/>
        </w:rPr>
        <w:t xml:space="preserve"> </w:t>
      </w:r>
      <w:proofErr w:type="spellStart"/>
      <w:r w:rsidRPr="00416EC8">
        <w:rPr>
          <w:lang w:val="en-US"/>
        </w:rPr>
        <w:t>underindikatorerna</w:t>
      </w:r>
      <w:proofErr w:type="spellEnd"/>
      <w:r w:rsidRPr="00416EC8">
        <w:rPr>
          <w:lang w:val="en-US"/>
        </w:rPr>
        <w:t xml:space="preserve">: </w:t>
      </w:r>
      <w:r w:rsidRPr="008842E1">
        <w:rPr>
          <w:i/>
          <w:lang w:val="en-US"/>
        </w:rPr>
        <w:t>Track application, acceptance and completion rates for female students</w:t>
      </w:r>
      <w:r>
        <w:rPr>
          <w:lang w:val="en-US"/>
        </w:rPr>
        <w:t xml:space="preserve">; </w:t>
      </w:r>
      <w:r w:rsidRPr="008842E1">
        <w:rPr>
          <w:i/>
          <w:lang w:val="en-US"/>
        </w:rPr>
        <w:t>Policy addressing application, acceptance, entry and participation rates for female students</w:t>
      </w:r>
      <w:r>
        <w:rPr>
          <w:lang w:val="en-US"/>
        </w:rPr>
        <w:t xml:space="preserve">; </w:t>
      </w:r>
      <w:r w:rsidRPr="008842E1">
        <w:rPr>
          <w:i/>
          <w:lang w:val="en-US"/>
        </w:rPr>
        <w:t>Provision of appropriate women’s access schemes, such as mentoring</w:t>
      </w:r>
      <w:r>
        <w:rPr>
          <w:lang w:val="en-US"/>
        </w:rPr>
        <w:t xml:space="preserve">; </w:t>
      </w:r>
      <w:r w:rsidRPr="008842E1">
        <w:rPr>
          <w:i/>
          <w:lang w:val="en-US"/>
        </w:rPr>
        <w:t>Encourage applications in areas where women are under-represented</w:t>
      </w:r>
      <w:r>
        <w:rPr>
          <w:i/>
          <w:lang w:val="en-US"/>
        </w:rPr>
        <w:t>.</w:t>
      </w:r>
    </w:p>
  </w:footnote>
  <w:footnote w:id="4">
    <w:p w:rsidR="003E6CA2" w:rsidRPr="008842E1" w:rsidRDefault="003E6CA2" w:rsidP="00886580">
      <w:pPr>
        <w:pStyle w:val="Fotnotstext"/>
        <w:rPr>
          <w:lang w:val="en-US"/>
        </w:rPr>
      </w:pPr>
      <w:r>
        <w:rPr>
          <w:rStyle w:val="Fotnotsreferens"/>
        </w:rPr>
        <w:footnoteRef/>
      </w:r>
      <w:r w:rsidRPr="00886580">
        <w:rPr>
          <w:lang w:val="en-US"/>
        </w:rPr>
        <w:t xml:space="preserve"> </w:t>
      </w:r>
      <w:proofErr w:type="spellStart"/>
      <w:proofErr w:type="gramStart"/>
      <w:r>
        <w:rPr>
          <w:lang w:val="en-US"/>
        </w:rPr>
        <w:t>Indikatorn</w:t>
      </w:r>
      <w:proofErr w:type="spellEnd"/>
      <w:r>
        <w:rPr>
          <w:lang w:val="en-US"/>
        </w:rPr>
        <w:t xml:space="preserve"> </w:t>
      </w:r>
      <w:proofErr w:type="spellStart"/>
      <w:r>
        <w:rPr>
          <w:lang w:val="en-US"/>
        </w:rPr>
        <w:t>består</w:t>
      </w:r>
      <w:proofErr w:type="spellEnd"/>
      <w:r>
        <w:rPr>
          <w:lang w:val="en-US"/>
        </w:rPr>
        <w:t xml:space="preserve"> </w:t>
      </w:r>
      <w:proofErr w:type="spellStart"/>
      <w:r>
        <w:rPr>
          <w:lang w:val="en-US"/>
        </w:rPr>
        <w:t>av</w:t>
      </w:r>
      <w:proofErr w:type="spellEnd"/>
      <w:r>
        <w:rPr>
          <w:lang w:val="en-US"/>
        </w:rPr>
        <w:t xml:space="preserve"> </w:t>
      </w:r>
      <w:proofErr w:type="spellStart"/>
      <w:r>
        <w:rPr>
          <w:lang w:val="en-US"/>
        </w:rPr>
        <w:t>underindikatorerna</w:t>
      </w:r>
      <w:proofErr w:type="spellEnd"/>
      <w:r>
        <w:rPr>
          <w:lang w:val="en-US"/>
        </w:rPr>
        <w:t xml:space="preserve">: </w:t>
      </w:r>
      <w:r w:rsidRPr="008842E1">
        <w:rPr>
          <w:i/>
          <w:lang w:val="en-US"/>
        </w:rPr>
        <w:t>Policy of non-discrimination against women</w:t>
      </w:r>
      <w:r>
        <w:rPr>
          <w:lang w:val="en-US"/>
        </w:rPr>
        <w:t xml:space="preserve">; </w:t>
      </w:r>
      <w:r w:rsidRPr="008842E1">
        <w:rPr>
          <w:i/>
          <w:lang w:val="en-US"/>
        </w:rPr>
        <w:t>Policy of non-discrimination against transgender people</w:t>
      </w:r>
      <w:r>
        <w:rPr>
          <w:lang w:val="en-US"/>
        </w:rPr>
        <w:t xml:space="preserve">; </w:t>
      </w:r>
      <w:r w:rsidRPr="008842E1">
        <w:rPr>
          <w:i/>
          <w:lang w:val="en-US"/>
        </w:rPr>
        <w:t>Maternity and paternity policies that support women’s participation</w:t>
      </w:r>
      <w:r>
        <w:rPr>
          <w:lang w:val="en-US"/>
        </w:rPr>
        <w:t xml:space="preserve">; </w:t>
      </w:r>
      <w:r w:rsidRPr="008842E1">
        <w:rPr>
          <w:i/>
          <w:lang w:val="en-US"/>
        </w:rPr>
        <w:t>Accessible childcare facilities for students</w:t>
      </w:r>
      <w:r>
        <w:rPr>
          <w:lang w:val="en-US"/>
        </w:rPr>
        <w:t xml:space="preserve">; </w:t>
      </w:r>
      <w:r w:rsidRPr="008842E1">
        <w:rPr>
          <w:i/>
          <w:lang w:val="en-US"/>
        </w:rPr>
        <w:t>Accessible childcare facilities for staff</w:t>
      </w:r>
      <w:r>
        <w:rPr>
          <w:lang w:val="en-US"/>
        </w:rPr>
        <w:t xml:space="preserve">; </w:t>
      </w:r>
      <w:r w:rsidRPr="008842E1">
        <w:rPr>
          <w:i/>
          <w:lang w:val="en-US"/>
        </w:rPr>
        <w:t>Women’s mentoring schemes, in which at least 10 per cent of female students participate</w:t>
      </w:r>
      <w:r>
        <w:rPr>
          <w:lang w:val="en-US"/>
        </w:rPr>
        <w:t xml:space="preserve">; </w:t>
      </w:r>
      <w:r w:rsidRPr="008842E1">
        <w:rPr>
          <w:i/>
          <w:lang w:val="en-US"/>
        </w:rPr>
        <w:t>Track women’s graduation rate compared with men’s and scheme in place to close any gap</w:t>
      </w:r>
      <w:r>
        <w:rPr>
          <w:lang w:val="en-US"/>
        </w:rPr>
        <w:t xml:space="preserve">; </w:t>
      </w:r>
      <w:r w:rsidRPr="008842E1">
        <w:rPr>
          <w:i/>
          <w:lang w:val="en-US"/>
        </w:rPr>
        <w:t>Policy protecting those reporting discrimination</w:t>
      </w:r>
      <w:r>
        <w:rPr>
          <w:i/>
          <w:lang w:val="en-US"/>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04011BD"/>
    <w:multiLevelType w:val="multilevel"/>
    <w:tmpl w:val="4F8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47"/>
    <w:rsid w:val="00003E10"/>
    <w:rsid w:val="000133EC"/>
    <w:rsid w:val="00014030"/>
    <w:rsid w:val="0001483E"/>
    <w:rsid w:val="0001566C"/>
    <w:rsid w:val="00022308"/>
    <w:rsid w:val="000233B7"/>
    <w:rsid w:val="00023E96"/>
    <w:rsid w:val="00031906"/>
    <w:rsid w:val="00032953"/>
    <w:rsid w:val="00033FB6"/>
    <w:rsid w:val="000365E5"/>
    <w:rsid w:val="00037A26"/>
    <w:rsid w:val="000553A2"/>
    <w:rsid w:val="0006003B"/>
    <w:rsid w:val="00063880"/>
    <w:rsid w:val="00066D8D"/>
    <w:rsid w:val="00066F24"/>
    <w:rsid w:val="000713FF"/>
    <w:rsid w:val="0007415D"/>
    <w:rsid w:val="00083E48"/>
    <w:rsid w:val="000918AD"/>
    <w:rsid w:val="00097F05"/>
    <w:rsid w:val="000A22E3"/>
    <w:rsid w:val="000A59A2"/>
    <w:rsid w:val="000A6AD8"/>
    <w:rsid w:val="000A6BBE"/>
    <w:rsid w:val="000A6EC3"/>
    <w:rsid w:val="000B05ED"/>
    <w:rsid w:val="000B22CA"/>
    <w:rsid w:val="000B3229"/>
    <w:rsid w:val="000B3DF0"/>
    <w:rsid w:val="000B41B0"/>
    <w:rsid w:val="000B4D37"/>
    <w:rsid w:val="000C1F61"/>
    <w:rsid w:val="000C272F"/>
    <w:rsid w:val="000C2C67"/>
    <w:rsid w:val="000E09DB"/>
    <w:rsid w:val="000E0B56"/>
    <w:rsid w:val="000E54ED"/>
    <w:rsid w:val="000E67A4"/>
    <w:rsid w:val="000E6863"/>
    <w:rsid w:val="000F0D78"/>
    <w:rsid w:val="000F4F01"/>
    <w:rsid w:val="001059F8"/>
    <w:rsid w:val="0011297E"/>
    <w:rsid w:val="001141A2"/>
    <w:rsid w:val="00116A4F"/>
    <w:rsid w:val="00126C2B"/>
    <w:rsid w:val="001311C0"/>
    <w:rsid w:val="001320A6"/>
    <w:rsid w:val="00132C65"/>
    <w:rsid w:val="00135DEB"/>
    <w:rsid w:val="0014519E"/>
    <w:rsid w:val="00156524"/>
    <w:rsid w:val="001621F9"/>
    <w:rsid w:val="00164138"/>
    <w:rsid w:val="00171C1F"/>
    <w:rsid w:val="00172CC8"/>
    <w:rsid w:val="00172E67"/>
    <w:rsid w:val="001741B3"/>
    <w:rsid w:val="0018125A"/>
    <w:rsid w:val="0018402A"/>
    <w:rsid w:val="0018642A"/>
    <w:rsid w:val="00187448"/>
    <w:rsid w:val="00192C0E"/>
    <w:rsid w:val="00195D5C"/>
    <w:rsid w:val="001974E2"/>
    <w:rsid w:val="001A1D5E"/>
    <w:rsid w:val="001A24C6"/>
    <w:rsid w:val="001A2D76"/>
    <w:rsid w:val="001A48D3"/>
    <w:rsid w:val="001B32B3"/>
    <w:rsid w:val="001B4715"/>
    <w:rsid w:val="001B76D2"/>
    <w:rsid w:val="001C328C"/>
    <w:rsid w:val="001C63AB"/>
    <w:rsid w:val="001D12E3"/>
    <w:rsid w:val="001D1402"/>
    <w:rsid w:val="001D1CE5"/>
    <w:rsid w:val="001D382A"/>
    <w:rsid w:val="001D5BBB"/>
    <w:rsid w:val="001D5EF5"/>
    <w:rsid w:val="001D7CBC"/>
    <w:rsid w:val="001F02BD"/>
    <w:rsid w:val="001F3547"/>
    <w:rsid w:val="001F3C5E"/>
    <w:rsid w:val="001F4098"/>
    <w:rsid w:val="001F45F6"/>
    <w:rsid w:val="001F7642"/>
    <w:rsid w:val="0020604D"/>
    <w:rsid w:val="0020749E"/>
    <w:rsid w:val="00213FD0"/>
    <w:rsid w:val="002154E6"/>
    <w:rsid w:val="00220D97"/>
    <w:rsid w:val="00220E92"/>
    <w:rsid w:val="00224535"/>
    <w:rsid w:val="0023185A"/>
    <w:rsid w:val="00232CD4"/>
    <w:rsid w:val="002337E5"/>
    <w:rsid w:val="0024168E"/>
    <w:rsid w:val="00241ED4"/>
    <w:rsid w:val="002430CD"/>
    <w:rsid w:val="00255845"/>
    <w:rsid w:val="0026047D"/>
    <w:rsid w:val="00261FAF"/>
    <w:rsid w:val="00285443"/>
    <w:rsid w:val="0029001D"/>
    <w:rsid w:val="0029243D"/>
    <w:rsid w:val="00295980"/>
    <w:rsid w:val="00295CD1"/>
    <w:rsid w:val="002A115A"/>
    <w:rsid w:val="002A3F62"/>
    <w:rsid w:val="002B3865"/>
    <w:rsid w:val="002B4DB0"/>
    <w:rsid w:val="002B7749"/>
    <w:rsid w:val="002C0341"/>
    <w:rsid w:val="002C12D2"/>
    <w:rsid w:val="002C2AE7"/>
    <w:rsid w:val="002C5E88"/>
    <w:rsid w:val="002D1A8E"/>
    <w:rsid w:val="002D20F3"/>
    <w:rsid w:val="002D4345"/>
    <w:rsid w:val="002E04C9"/>
    <w:rsid w:val="002E2C40"/>
    <w:rsid w:val="002E47D4"/>
    <w:rsid w:val="002E6DD4"/>
    <w:rsid w:val="002E7082"/>
    <w:rsid w:val="002F1FFA"/>
    <w:rsid w:val="002F2A6F"/>
    <w:rsid w:val="002F61BC"/>
    <w:rsid w:val="00303641"/>
    <w:rsid w:val="0030466F"/>
    <w:rsid w:val="00307DE3"/>
    <w:rsid w:val="00310604"/>
    <w:rsid w:val="00310810"/>
    <w:rsid w:val="0031543A"/>
    <w:rsid w:val="003174E2"/>
    <w:rsid w:val="00323992"/>
    <w:rsid w:val="00324325"/>
    <w:rsid w:val="0032439F"/>
    <w:rsid w:val="00324B38"/>
    <w:rsid w:val="003324B2"/>
    <w:rsid w:val="003339D5"/>
    <w:rsid w:val="00335C3D"/>
    <w:rsid w:val="00340BEC"/>
    <w:rsid w:val="003445BC"/>
    <w:rsid w:val="00344B4D"/>
    <w:rsid w:val="00345D59"/>
    <w:rsid w:val="003509BE"/>
    <w:rsid w:val="00352253"/>
    <w:rsid w:val="00360B42"/>
    <w:rsid w:val="00361EBF"/>
    <w:rsid w:val="0036529B"/>
    <w:rsid w:val="00367505"/>
    <w:rsid w:val="00371F1D"/>
    <w:rsid w:val="00375C31"/>
    <w:rsid w:val="00375D71"/>
    <w:rsid w:val="0037667F"/>
    <w:rsid w:val="00376986"/>
    <w:rsid w:val="00376B1B"/>
    <w:rsid w:val="0038059A"/>
    <w:rsid w:val="00383258"/>
    <w:rsid w:val="00385B6B"/>
    <w:rsid w:val="003944D3"/>
    <w:rsid w:val="00395A3A"/>
    <w:rsid w:val="003A221F"/>
    <w:rsid w:val="003A55C2"/>
    <w:rsid w:val="003B1075"/>
    <w:rsid w:val="003B381C"/>
    <w:rsid w:val="003B55F6"/>
    <w:rsid w:val="003C04B5"/>
    <w:rsid w:val="003C0B76"/>
    <w:rsid w:val="003C507B"/>
    <w:rsid w:val="003D0C43"/>
    <w:rsid w:val="003D12DF"/>
    <w:rsid w:val="003D4C6E"/>
    <w:rsid w:val="003D5368"/>
    <w:rsid w:val="003D5E50"/>
    <w:rsid w:val="003D6C57"/>
    <w:rsid w:val="003E05A1"/>
    <w:rsid w:val="003E4EB3"/>
    <w:rsid w:val="003E6B7A"/>
    <w:rsid w:val="003E6CA2"/>
    <w:rsid w:val="003F2D12"/>
    <w:rsid w:val="003F6A88"/>
    <w:rsid w:val="0040336E"/>
    <w:rsid w:val="00403B99"/>
    <w:rsid w:val="00414134"/>
    <w:rsid w:val="00416EC8"/>
    <w:rsid w:val="004247B0"/>
    <w:rsid w:val="00426EA0"/>
    <w:rsid w:val="00427E1D"/>
    <w:rsid w:val="004338BF"/>
    <w:rsid w:val="00435F5F"/>
    <w:rsid w:val="004448BD"/>
    <w:rsid w:val="00451501"/>
    <w:rsid w:val="004554DF"/>
    <w:rsid w:val="00464C8F"/>
    <w:rsid w:val="00466FBE"/>
    <w:rsid w:val="00472D79"/>
    <w:rsid w:val="00473648"/>
    <w:rsid w:val="00481D03"/>
    <w:rsid w:val="0048482D"/>
    <w:rsid w:val="00484AB4"/>
    <w:rsid w:val="00490457"/>
    <w:rsid w:val="00494341"/>
    <w:rsid w:val="004951AE"/>
    <w:rsid w:val="00495990"/>
    <w:rsid w:val="00495BB4"/>
    <w:rsid w:val="00495FCD"/>
    <w:rsid w:val="00496498"/>
    <w:rsid w:val="004974B8"/>
    <w:rsid w:val="004A024D"/>
    <w:rsid w:val="004A0D3F"/>
    <w:rsid w:val="004A1500"/>
    <w:rsid w:val="004A3440"/>
    <w:rsid w:val="004A367D"/>
    <w:rsid w:val="004A46C8"/>
    <w:rsid w:val="004B3394"/>
    <w:rsid w:val="004C2D14"/>
    <w:rsid w:val="004C3763"/>
    <w:rsid w:val="004D0FF6"/>
    <w:rsid w:val="004D4EF2"/>
    <w:rsid w:val="004E2CE8"/>
    <w:rsid w:val="004E5409"/>
    <w:rsid w:val="004E58C5"/>
    <w:rsid w:val="004E7B33"/>
    <w:rsid w:val="004E7CDE"/>
    <w:rsid w:val="004F1A90"/>
    <w:rsid w:val="004F2591"/>
    <w:rsid w:val="004F2920"/>
    <w:rsid w:val="004F430A"/>
    <w:rsid w:val="004F6775"/>
    <w:rsid w:val="004F684C"/>
    <w:rsid w:val="0050716D"/>
    <w:rsid w:val="00513D78"/>
    <w:rsid w:val="00514DFE"/>
    <w:rsid w:val="0051651A"/>
    <w:rsid w:val="00516DE4"/>
    <w:rsid w:val="005230FA"/>
    <w:rsid w:val="00523FF5"/>
    <w:rsid w:val="0052483C"/>
    <w:rsid w:val="00535088"/>
    <w:rsid w:val="0054324A"/>
    <w:rsid w:val="00547786"/>
    <w:rsid w:val="00547E65"/>
    <w:rsid w:val="005509E3"/>
    <w:rsid w:val="00552BB1"/>
    <w:rsid w:val="00553027"/>
    <w:rsid w:val="00553E50"/>
    <w:rsid w:val="00555941"/>
    <w:rsid w:val="00556B6D"/>
    <w:rsid w:val="0057553D"/>
    <w:rsid w:val="00580B0D"/>
    <w:rsid w:val="00584CF6"/>
    <w:rsid w:val="00585D6D"/>
    <w:rsid w:val="00585E8A"/>
    <w:rsid w:val="00590297"/>
    <w:rsid w:val="00591A63"/>
    <w:rsid w:val="0059564D"/>
    <w:rsid w:val="00596887"/>
    <w:rsid w:val="00596A7A"/>
    <w:rsid w:val="0059727C"/>
    <w:rsid w:val="005B021A"/>
    <w:rsid w:val="005B3445"/>
    <w:rsid w:val="005B3473"/>
    <w:rsid w:val="005C010A"/>
    <w:rsid w:val="005C62A4"/>
    <w:rsid w:val="005D1035"/>
    <w:rsid w:val="005D4219"/>
    <w:rsid w:val="005F08B6"/>
    <w:rsid w:val="005F268B"/>
    <w:rsid w:val="005F5C23"/>
    <w:rsid w:val="00601510"/>
    <w:rsid w:val="00603DFE"/>
    <w:rsid w:val="00610246"/>
    <w:rsid w:val="00611DEC"/>
    <w:rsid w:val="00613007"/>
    <w:rsid w:val="00613CBC"/>
    <w:rsid w:val="00616C61"/>
    <w:rsid w:val="00621733"/>
    <w:rsid w:val="0062419D"/>
    <w:rsid w:val="00624564"/>
    <w:rsid w:val="00635602"/>
    <w:rsid w:val="006358B4"/>
    <w:rsid w:val="006365E2"/>
    <w:rsid w:val="00646D8E"/>
    <w:rsid w:val="00647A20"/>
    <w:rsid w:val="00652D4D"/>
    <w:rsid w:val="006530EF"/>
    <w:rsid w:val="006555B8"/>
    <w:rsid w:val="006574CC"/>
    <w:rsid w:val="00676D6E"/>
    <w:rsid w:val="006779CC"/>
    <w:rsid w:val="006848FB"/>
    <w:rsid w:val="00693D77"/>
    <w:rsid w:val="006A7332"/>
    <w:rsid w:val="006B1F59"/>
    <w:rsid w:val="006C0CF0"/>
    <w:rsid w:val="006C3154"/>
    <w:rsid w:val="006C7397"/>
    <w:rsid w:val="006D73CD"/>
    <w:rsid w:val="006F75C4"/>
    <w:rsid w:val="006F7A57"/>
    <w:rsid w:val="007028BD"/>
    <w:rsid w:val="00703524"/>
    <w:rsid w:val="00703701"/>
    <w:rsid w:val="00711B2B"/>
    <w:rsid w:val="00716E6B"/>
    <w:rsid w:val="0071744C"/>
    <w:rsid w:val="0071787D"/>
    <w:rsid w:val="00730F00"/>
    <w:rsid w:val="00732DE1"/>
    <w:rsid w:val="00737B0C"/>
    <w:rsid w:val="0074052C"/>
    <w:rsid w:val="00752990"/>
    <w:rsid w:val="00752A08"/>
    <w:rsid w:val="00753164"/>
    <w:rsid w:val="00755349"/>
    <w:rsid w:val="007559B4"/>
    <w:rsid w:val="00755C1D"/>
    <w:rsid w:val="00763A35"/>
    <w:rsid w:val="0076503E"/>
    <w:rsid w:val="00767ACA"/>
    <w:rsid w:val="007712B3"/>
    <w:rsid w:val="00771BD2"/>
    <w:rsid w:val="00773F03"/>
    <w:rsid w:val="00775A5A"/>
    <w:rsid w:val="007835A7"/>
    <w:rsid w:val="00785E62"/>
    <w:rsid w:val="0078667E"/>
    <w:rsid w:val="00787319"/>
    <w:rsid w:val="00787E16"/>
    <w:rsid w:val="00792003"/>
    <w:rsid w:val="00792464"/>
    <w:rsid w:val="007936D6"/>
    <w:rsid w:val="007A14D4"/>
    <w:rsid w:val="007A26DA"/>
    <w:rsid w:val="007A77FB"/>
    <w:rsid w:val="007A7E65"/>
    <w:rsid w:val="007B57EF"/>
    <w:rsid w:val="007B79CE"/>
    <w:rsid w:val="007B7FCF"/>
    <w:rsid w:val="007C27C9"/>
    <w:rsid w:val="007C3146"/>
    <w:rsid w:val="007C318D"/>
    <w:rsid w:val="007D0976"/>
    <w:rsid w:val="007D0CA0"/>
    <w:rsid w:val="007D29D0"/>
    <w:rsid w:val="007D2B8E"/>
    <w:rsid w:val="007D371E"/>
    <w:rsid w:val="007D7CCC"/>
    <w:rsid w:val="007E0CE7"/>
    <w:rsid w:val="007E48B8"/>
    <w:rsid w:val="007E7E2C"/>
    <w:rsid w:val="007F10EE"/>
    <w:rsid w:val="007F2A47"/>
    <w:rsid w:val="007F37B7"/>
    <w:rsid w:val="007F3C19"/>
    <w:rsid w:val="007F4375"/>
    <w:rsid w:val="00800B0B"/>
    <w:rsid w:val="008037A9"/>
    <w:rsid w:val="00805C4C"/>
    <w:rsid w:val="00806AA8"/>
    <w:rsid w:val="00807573"/>
    <w:rsid w:val="00810287"/>
    <w:rsid w:val="00820529"/>
    <w:rsid w:val="008211AA"/>
    <w:rsid w:val="00824BE2"/>
    <w:rsid w:val="00825507"/>
    <w:rsid w:val="008261C2"/>
    <w:rsid w:val="00844FD1"/>
    <w:rsid w:val="008504E1"/>
    <w:rsid w:val="0085185B"/>
    <w:rsid w:val="008544DB"/>
    <w:rsid w:val="00861D58"/>
    <w:rsid w:val="00863211"/>
    <w:rsid w:val="00863257"/>
    <w:rsid w:val="00863C0B"/>
    <w:rsid w:val="00863E65"/>
    <w:rsid w:val="0087028E"/>
    <w:rsid w:val="00871D9D"/>
    <w:rsid w:val="008726EC"/>
    <w:rsid w:val="00873303"/>
    <w:rsid w:val="00875F1A"/>
    <w:rsid w:val="00880F05"/>
    <w:rsid w:val="008815CA"/>
    <w:rsid w:val="00882262"/>
    <w:rsid w:val="008822FA"/>
    <w:rsid w:val="00882885"/>
    <w:rsid w:val="008842E1"/>
    <w:rsid w:val="00886580"/>
    <w:rsid w:val="00893DE7"/>
    <w:rsid w:val="00894A71"/>
    <w:rsid w:val="008A3325"/>
    <w:rsid w:val="008A3E4A"/>
    <w:rsid w:val="008A7489"/>
    <w:rsid w:val="008B15A5"/>
    <w:rsid w:val="008C1AF0"/>
    <w:rsid w:val="008D070A"/>
    <w:rsid w:val="008D0732"/>
    <w:rsid w:val="008D1662"/>
    <w:rsid w:val="008D1DB1"/>
    <w:rsid w:val="008D25B9"/>
    <w:rsid w:val="008E44BF"/>
    <w:rsid w:val="008E4593"/>
    <w:rsid w:val="008E7918"/>
    <w:rsid w:val="008F2066"/>
    <w:rsid w:val="008F20F2"/>
    <w:rsid w:val="008F4381"/>
    <w:rsid w:val="008F4D2E"/>
    <w:rsid w:val="008F5D9B"/>
    <w:rsid w:val="008F5DBC"/>
    <w:rsid w:val="008F7C84"/>
    <w:rsid w:val="009000AA"/>
    <w:rsid w:val="00904A2A"/>
    <w:rsid w:val="00905671"/>
    <w:rsid w:val="0091084F"/>
    <w:rsid w:val="009122FE"/>
    <w:rsid w:val="00914635"/>
    <w:rsid w:val="00916A76"/>
    <w:rsid w:val="00917711"/>
    <w:rsid w:val="00917CF3"/>
    <w:rsid w:val="00922FFA"/>
    <w:rsid w:val="00923193"/>
    <w:rsid w:val="00935F29"/>
    <w:rsid w:val="009361E7"/>
    <w:rsid w:val="00945C06"/>
    <w:rsid w:val="009476EE"/>
    <w:rsid w:val="00951CB9"/>
    <w:rsid w:val="00952D12"/>
    <w:rsid w:val="00955C20"/>
    <w:rsid w:val="0095728C"/>
    <w:rsid w:val="00962FDE"/>
    <w:rsid w:val="00967DA9"/>
    <w:rsid w:val="00971FC2"/>
    <w:rsid w:val="00975450"/>
    <w:rsid w:val="00981197"/>
    <w:rsid w:val="00981BCF"/>
    <w:rsid w:val="0098622E"/>
    <w:rsid w:val="00994A8E"/>
    <w:rsid w:val="00995F27"/>
    <w:rsid w:val="009A3428"/>
    <w:rsid w:val="009A59C3"/>
    <w:rsid w:val="009B205B"/>
    <w:rsid w:val="009B65E1"/>
    <w:rsid w:val="009B750E"/>
    <w:rsid w:val="009C02F8"/>
    <w:rsid w:val="009C497A"/>
    <w:rsid w:val="009D14A5"/>
    <w:rsid w:val="009D541C"/>
    <w:rsid w:val="009D6F88"/>
    <w:rsid w:val="009E20E7"/>
    <w:rsid w:val="009F1986"/>
    <w:rsid w:val="00A01D5F"/>
    <w:rsid w:val="00A0233E"/>
    <w:rsid w:val="00A030A5"/>
    <w:rsid w:val="00A0685C"/>
    <w:rsid w:val="00A06F89"/>
    <w:rsid w:val="00A106DD"/>
    <w:rsid w:val="00A13147"/>
    <w:rsid w:val="00A14BFC"/>
    <w:rsid w:val="00A16B59"/>
    <w:rsid w:val="00A2594A"/>
    <w:rsid w:val="00A25EFF"/>
    <w:rsid w:val="00A329F0"/>
    <w:rsid w:val="00A36D44"/>
    <w:rsid w:val="00A37248"/>
    <w:rsid w:val="00A403C5"/>
    <w:rsid w:val="00A45831"/>
    <w:rsid w:val="00A47776"/>
    <w:rsid w:val="00A506D5"/>
    <w:rsid w:val="00A506FD"/>
    <w:rsid w:val="00A5156F"/>
    <w:rsid w:val="00A5402E"/>
    <w:rsid w:val="00A546BD"/>
    <w:rsid w:val="00A56CC4"/>
    <w:rsid w:val="00A57169"/>
    <w:rsid w:val="00A66269"/>
    <w:rsid w:val="00A74415"/>
    <w:rsid w:val="00A75F19"/>
    <w:rsid w:val="00A76912"/>
    <w:rsid w:val="00A77340"/>
    <w:rsid w:val="00A779AC"/>
    <w:rsid w:val="00A833EA"/>
    <w:rsid w:val="00A83BDD"/>
    <w:rsid w:val="00A84BB8"/>
    <w:rsid w:val="00A8565B"/>
    <w:rsid w:val="00A95287"/>
    <w:rsid w:val="00AA14C7"/>
    <w:rsid w:val="00AA1B28"/>
    <w:rsid w:val="00AA3946"/>
    <w:rsid w:val="00AA4598"/>
    <w:rsid w:val="00AB37AC"/>
    <w:rsid w:val="00AB47E7"/>
    <w:rsid w:val="00AC123C"/>
    <w:rsid w:val="00AD09B4"/>
    <w:rsid w:val="00AD1991"/>
    <w:rsid w:val="00AD2A33"/>
    <w:rsid w:val="00AD3214"/>
    <w:rsid w:val="00AD5B1E"/>
    <w:rsid w:val="00AE05D8"/>
    <w:rsid w:val="00AE1E1F"/>
    <w:rsid w:val="00AE3A14"/>
    <w:rsid w:val="00AE3B61"/>
    <w:rsid w:val="00AE7E5B"/>
    <w:rsid w:val="00AF0371"/>
    <w:rsid w:val="00AF0A4F"/>
    <w:rsid w:val="00AF18C7"/>
    <w:rsid w:val="00AF2233"/>
    <w:rsid w:val="00AF2B62"/>
    <w:rsid w:val="00AF3985"/>
    <w:rsid w:val="00B01EBF"/>
    <w:rsid w:val="00B02309"/>
    <w:rsid w:val="00B05A7A"/>
    <w:rsid w:val="00B06719"/>
    <w:rsid w:val="00B1135A"/>
    <w:rsid w:val="00B15356"/>
    <w:rsid w:val="00B15EAB"/>
    <w:rsid w:val="00B232EF"/>
    <w:rsid w:val="00B26273"/>
    <w:rsid w:val="00B34364"/>
    <w:rsid w:val="00B34B29"/>
    <w:rsid w:val="00B409CC"/>
    <w:rsid w:val="00B411DA"/>
    <w:rsid w:val="00B442BB"/>
    <w:rsid w:val="00B51097"/>
    <w:rsid w:val="00B5121A"/>
    <w:rsid w:val="00B52A23"/>
    <w:rsid w:val="00B52CF8"/>
    <w:rsid w:val="00B56B49"/>
    <w:rsid w:val="00B57A91"/>
    <w:rsid w:val="00B61916"/>
    <w:rsid w:val="00B61F0F"/>
    <w:rsid w:val="00B70268"/>
    <w:rsid w:val="00B726B6"/>
    <w:rsid w:val="00B745A0"/>
    <w:rsid w:val="00B756F6"/>
    <w:rsid w:val="00B81021"/>
    <w:rsid w:val="00B8759D"/>
    <w:rsid w:val="00B87613"/>
    <w:rsid w:val="00B90528"/>
    <w:rsid w:val="00B9132F"/>
    <w:rsid w:val="00B918DD"/>
    <w:rsid w:val="00B92271"/>
    <w:rsid w:val="00B94A38"/>
    <w:rsid w:val="00BA015B"/>
    <w:rsid w:val="00BA0AD6"/>
    <w:rsid w:val="00BA0FEF"/>
    <w:rsid w:val="00BA1122"/>
    <w:rsid w:val="00BA39EE"/>
    <w:rsid w:val="00BB0388"/>
    <w:rsid w:val="00BC0F10"/>
    <w:rsid w:val="00BC64D7"/>
    <w:rsid w:val="00BC7DF3"/>
    <w:rsid w:val="00BD0F5F"/>
    <w:rsid w:val="00BD10EE"/>
    <w:rsid w:val="00BD134C"/>
    <w:rsid w:val="00BD144B"/>
    <w:rsid w:val="00BD2CC7"/>
    <w:rsid w:val="00BD38A4"/>
    <w:rsid w:val="00BD38E4"/>
    <w:rsid w:val="00BD3C5D"/>
    <w:rsid w:val="00BF385A"/>
    <w:rsid w:val="00BF7F56"/>
    <w:rsid w:val="00C0159C"/>
    <w:rsid w:val="00C02E29"/>
    <w:rsid w:val="00C04F3D"/>
    <w:rsid w:val="00C06690"/>
    <w:rsid w:val="00C119B3"/>
    <w:rsid w:val="00C1463E"/>
    <w:rsid w:val="00C25E11"/>
    <w:rsid w:val="00C31E0B"/>
    <w:rsid w:val="00C33809"/>
    <w:rsid w:val="00C33F81"/>
    <w:rsid w:val="00C34530"/>
    <w:rsid w:val="00C411B1"/>
    <w:rsid w:val="00C419B7"/>
    <w:rsid w:val="00C4628C"/>
    <w:rsid w:val="00C4684B"/>
    <w:rsid w:val="00C46B7C"/>
    <w:rsid w:val="00C46D8E"/>
    <w:rsid w:val="00C547DB"/>
    <w:rsid w:val="00C611B5"/>
    <w:rsid w:val="00C65034"/>
    <w:rsid w:val="00C6791B"/>
    <w:rsid w:val="00C72374"/>
    <w:rsid w:val="00C85843"/>
    <w:rsid w:val="00C86E5F"/>
    <w:rsid w:val="00C87FA2"/>
    <w:rsid w:val="00C962DA"/>
    <w:rsid w:val="00C970BF"/>
    <w:rsid w:val="00C97FB2"/>
    <w:rsid w:val="00CA4A51"/>
    <w:rsid w:val="00CA50A5"/>
    <w:rsid w:val="00CC098C"/>
    <w:rsid w:val="00CC0A2B"/>
    <w:rsid w:val="00CC1B28"/>
    <w:rsid w:val="00CD4BA9"/>
    <w:rsid w:val="00CE2352"/>
    <w:rsid w:val="00CE4BDF"/>
    <w:rsid w:val="00CE51F5"/>
    <w:rsid w:val="00CE68D1"/>
    <w:rsid w:val="00CF23DD"/>
    <w:rsid w:val="00CF4D41"/>
    <w:rsid w:val="00CF5A7C"/>
    <w:rsid w:val="00D003BB"/>
    <w:rsid w:val="00D01BF3"/>
    <w:rsid w:val="00D03E18"/>
    <w:rsid w:val="00D05CCF"/>
    <w:rsid w:val="00D061A8"/>
    <w:rsid w:val="00D15083"/>
    <w:rsid w:val="00D20E21"/>
    <w:rsid w:val="00D2245B"/>
    <w:rsid w:val="00D23800"/>
    <w:rsid w:val="00D23CB7"/>
    <w:rsid w:val="00D26D11"/>
    <w:rsid w:val="00D34B06"/>
    <w:rsid w:val="00D44B85"/>
    <w:rsid w:val="00D461ED"/>
    <w:rsid w:val="00D5414E"/>
    <w:rsid w:val="00D54A80"/>
    <w:rsid w:val="00D606F5"/>
    <w:rsid w:val="00D65D96"/>
    <w:rsid w:val="00D66753"/>
    <w:rsid w:val="00D67408"/>
    <w:rsid w:val="00D72527"/>
    <w:rsid w:val="00D75897"/>
    <w:rsid w:val="00D75DF3"/>
    <w:rsid w:val="00D77338"/>
    <w:rsid w:val="00D80495"/>
    <w:rsid w:val="00D83714"/>
    <w:rsid w:val="00D84653"/>
    <w:rsid w:val="00D912D1"/>
    <w:rsid w:val="00D95FD9"/>
    <w:rsid w:val="00D96CF7"/>
    <w:rsid w:val="00DA507A"/>
    <w:rsid w:val="00DA5325"/>
    <w:rsid w:val="00DA62A9"/>
    <w:rsid w:val="00DB00D4"/>
    <w:rsid w:val="00DB07D8"/>
    <w:rsid w:val="00DB14A8"/>
    <w:rsid w:val="00DB4583"/>
    <w:rsid w:val="00DB5345"/>
    <w:rsid w:val="00DB71AC"/>
    <w:rsid w:val="00DC00E8"/>
    <w:rsid w:val="00DC1A50"/>
    <w:rsid w:val="00DC4D06"/>
    <w:rsid w:val="00DC6911"/>
    <w:rsid w:val="00DF093A"/>
    <w:rsid w:val="00E0728F"/>
    <w:rsid w:val="00E10487"/>
    <w:rsid w:val="00E1064F"/>
    <w:rsid w:val="00E400F4"/>
    <w:rsid w:val="00E43508"/>
    <w:rsid w:val="00E5088B"/>
    <w:rsid w:val="00E525BD"/>
    <w:rsid w:val="00E60F2E"/>
    <w:rsid w:val="00E64957"/>
    <w:rsid w:val="00E71B33"/>
    <w:rsid w:val="00E74B35"/>
    <w:rsid w:val="00E8018D"/>
    <w:rsid w:val="00E80EDC"/>
    <w:rsid w:val="00E824BD"/>
    <w:rsid w:val="00E91FB5"/>
    <w:rsid w:val="00EA1C07"/>
    <w:rsid w:val="00EA3A99"/>
    <w:rsid w:val="00EA4214"/>
    <w:rsid w:val="00EA66C3"/>
    <w:rsid w:val="00EA7662"/>
    <w:rsid w:val="00EB07F4"/>
    <w:rsid w:val="00EB1017"/>
    <w:rsid w:val="00EB37E2"/>
    <w:rsid w:val="00EC05C9"/>
    <w:rsid w:val="00EC1BA6"/>
    <w:rsid w:val="00EC3F5F"/>
    <w:rsid w:val="00ED2FC0"/>
    <w:rsid w:val="00ED5ED6"/>
    <w:rsid w:val="00ED5F62"/>
    <w:rsid w:val="00ED7E0A"/>
    <w:rsid w:val="00EF1D64"/>
    <w:rsid w:val="00EF4A33"/>
    <w:rsid w:val="00F11E17"/>
    <w:rsid w:val="00F130BE"/>
    <w:rsid w:val="00F16D4A"/>
    <w:rsid w:val="00F241D2"/>
    <w:rsid w:val="00F27647"/>
    <w:rsid w:val="00F27F3E"/>
    <w:rsid w:val="00F303EB"/>
    <w:rsid w:val="00F360E9"/>
    <w:rsid w:val="00F37E6F"/>
    <w:rsid w:val="00F44AAE"/>
    <w:rsid w:val="00F46DDD"/>
    <w:rsid w:val="00F54E45"/>
    <w:rsid w:val="00F57388"/>
    <w:rsid w:val="00F5744A"/>
    <w:rsid w:val="00F60B2A"/>
    <w:rsid w:val="00F62467"/>
    <w:rsid w:val="00F631C7"/>
    <w:rsid w:val="00F66313"/>
    <w:rsid w:val="00F665A6"/>
    <w:rsid w:val="00F714D7"/>
    <w:rsid w:val="00F71739"/>
    <w:rsid w:val="00F736BB"/>
    <w:rsid w:val="00F7445D"/>
    <w:rsid w:val="00F77F4F"/>
    <w:rsid w:val="00F816C7"/>
    <w:rsid w:val="00F94E56"/>
    <w:rsid w:val="00F95D49"/>
    <w:rsid w:val="00F9631D"/>
    <w:rsid w:val="00FA1030"/>
    <w:rsid w:val="00FA2711"/>
    <w:rsid w:val="00FB6161"/>
    <w:rsid w:val="00FC02AB"/>
    <w:rsid w:val="00FC5FBC"/>
    <w:rsid w:val="00FC7442"/>
    <w:rsid w:val="00FD2BF9"/>
    <w:rsid w:val="00FD49E0"/>
    <w:rsid w:val="00FE3A70"/>
    <w:rsid w:val="00FF06D6"/>
    <w:rsid w:val="00FF32E1"/>
    <w:rsid w:val="00FF337B"/>
    <w:rsid w:val="00FF40E8"/>
    <w:rsid w:val="00FF6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9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156524"/>
    <w:pPr>
      <w:keepNext/>
      <w:keepLines/>
      <w:spacing w:before="240" w:after="80" w:line="260" w:lineRule="atLeast"/>
      <w:outlineLvl w:val="1"/>
    </w:pPr>
    <w:rPr>
      <w:rFonts w:asciiTheme="majorHAnsi" w:eastAsiaTheme="majorEastAsia" w:hAnsiTheme="majorHAnsi" w:cstheme="majorBidi"/>
      <w:b/>
      <w:bCs/>
      <w:sz w:val="28"/>
      <w:szCs w:val="26"/>
    </w:rPr>
  </w:style>
  <w:style w:type="paragraph" w:styleId="Rubrik3">
    <w:name w:val="heading 3"/>
    <w:aliases w:val="KTH Rubrik 3"/>
    <w:basedOn w:val="Normal"/>
    <w:next w:val="Brdtext"/>
    <w:link w:val="Rubrik3Char"/>
    <w:uiPriority w:val="3"/>
    <w:qFormat/>
    <w:rsid w:val="000C272F"/>
    <w:pPr>
      <w:keepNext/>
      <w:keepLines/>
      <w:spacing w:before="240" w:after="60" w:line="260" w:lineRule="atLeast"/>
      <w:outlineLvl w:val="2"/>
    </w:pPr>
    <w:rPr>
      <w:rFonts w:asciiTheme="majorHAnsi" w:eastAsiaTheme="majorEastAsia" w:hAnsiTheme="majorHAnsi" w:cstheme="majorBidi"/>
      <w:b/>
      <w:bCs/>
      <w:sz w:val="24"/>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AD1991"/>
    <w:pPr>
      <w:spacing w:after="240" w:line="260" w:lineRule="atLeast"/>
    </w:pPr>
    <w:rPr>
      <w:sz w:val="22"/>
    </w:rPr>
  </w:style>
  <w:style w:type="character" w:customStyle="1" w:styleId="BrdtextChar">
    <w:name w:val="Brödtext Char"/>
    <w:aliases w:val="KTH Brödtext Char"/>
    <w:basedOn w:val="Standardstycketeckensnitt"/>
    <w:link w:val="Brdtext"/>
    <w:uiPriority w:val="1"/>
    <w:rsid w:val="00AD1991"/>
    <w:rPr>
      <w:sz w:val="22"/>
    </w:rPr>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156524"/>
    <w:rPr>
      <w:rFonts w:asciiTheme="majorHAnsi" w:eastAsiaTheme="majorEastAsia" w:hAnsiTheme="majorHAnsi" w:cstheme="majorBidi"/>
      <w:b/>
      <w:bCs/>
      <w:sz w:val="28"/>
      <w:szCs w:val="26"/>
    </w:rPr>
  </w:style>
  <w:style w:type="character" w:customStyle="1" w:styleId="Rubrik3Char">
    <w:name w:val="Rubrik 3 Char"/>
    <w:aliases w:val="KTH Rubrik 3 Char"/>
    <w:basedOn w:val="Standardstycketeckensnitt"/>
    <w:link w:val="Rubrik3"/>
    <w:uiPriority w:val="3"/>
    <w:rsid w:val="000C272F"/>
    <w:rPr>
      <w:rFonts w:asciiTheme="majorHAnsi" w:eastAsiaTheme="majorEastAsia" w:hAnsiTheme="majorHAnsi" w:cstheme="majorBidi"/>
      <w:b/>
      <w:bCs/>
      <w:sz w:val="24"/>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033FB6"/>
    <w:pPr>
      <w:spacing w:after="360" w:line="320" w:lineRule="atLeast"/>
    </w:pPr>
    <w:rPr>
      <w:rFonts w:asciiTheme="majorHAnsi" w:hAnsiTheme="majorHAnsi"/>
      <w:b/>
      <w:sz w:val="36"/>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A403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03C5"/>
    <w:rPr>
      <w:rFonts w:ascii="Segoe UI" w:hAnsi="Segoe UI" w:cs="Segoe UI"/>
      <w:sz w:val="18"/>
      <w:szCs w:val="18"/>
    </w:rPr>
  </w:style>
  <w:style w:type="paragraph" w:styleId="Fotnotstext">
    <w:name w:val="footnote text"/>
    <w:basedOn w:val="Normal"/>
    <w:link w:val="FotnotstextChar"/>
    <w:uiPriority w:val="99"/>
    <w:semiHidden/>
    <w:unhideWhenUsed/>
    <w:rsid w:val="00AE3A14"/>
  </w:style>
  <w:style w:type="character" w:customStyle="1" w:styleId="FotnotstextChar">
    <w:name w:val="Fotnotstext Char"/>
    <w:basedOn w:val="Standardstycketeckensnitt"/>
    <w:link w:val="Fotnotstext"/>
    <w:uiPriority w:val="99"/>
    <w:semiHidden/>
    <w:rsid w:val="00AE3A14"/>
  </w:style>
  <w:style w:type="character" w:styleId="Fotnotsreferens">
    <w:name w:val="footnote reference"/>
    <w:basedOn w:val="Standardstycketeckensnitt"/>
    <w:uiPriority w:val="99"/>
    <w:semiHidden/>
    <w:unhideWhenUsed/>
    <w:rsid w:val="00AE3A14"/>
    <w:rPr>
      <w:vertAlign w:val="superscript"/>
    </w:rPr>
  </w:style>
  <w:style w:type="table" w:styleId="Tabellrutnt">
    <w:name w:val="Table Grid"/>
    <w:basedOn w:val="Normaltabell"/>
    <w:uiPriority w:val="59"/>
    <w:rsid w:val="0032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C0341"/>
    <w:rPr>
      <w:color w:val="0000FF" w:themeColor="hyperlink"/>
      <w:u w:val="single"/>
    </w:rPr>
  </w:style>
  <w:style w:type="character" w:customStyle="1" w:styleId="scorecardscore-yk9qpb-3">
    <w:name w:val="scorecard__score-yk9qpb-3"/>
    <w:basedOn w:val="Standardstycketeckensnitt"/>
    <w:rsid w:val="003E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248">
      <w:bodyDiv w:val="1"/>
      <w:marLeft w:val="0"/>
      <w:marRight w:val="0"/>
      <w:marTop w:val="0"/>
      <w:marBottom w:val="0"/>
      <w:divBdr>
        <w:top w:val="none" w:sz="0" w:space="0" w:color="auto"/>
        <w:left w:val="none" w:sz="0" w:space="0" w:color="auto"/>
        <w:bottom w:val="none" w:sz="0" w:space="0" w:color="auto"/>
        <w:right w:val="none" w:sz="0" w:space="0" w:color="auto"/>
      </w:divBdr>
    </w:div>
    <w:div w:id="67508606">
      <w:bodyDiv w:val="1"/>
      <w:marLeft w:val="0"/>
      <w:marRight w:val="0"/>
      <w:marTop w:val="0"/>
      <w:marBottom w:val="0"/>
      <w:divBdr>
        <w:top w:val="none" w:sz="0" w:space="0" w:color="auto"/>
        <w:left w:val="none" w:sz="0" w:space="0" w:color="auto"/>
        <w:bottom w:val="none" w:sz="0" w:space="0" w:color="auto"/>
        <w:right w:val="none" w:sz="0" w:space="0" w:color="auto"/>
      </w:divBdr>
      <w:divsChild>
        <w:div w:id="1161582916">
          <w:marLeft w:val="0"/>
          <w:marRight w:val="360"/>
          <w:marTop w:val="0"/>
          <w:marBottom w:val="0"/>
          <w:divBdr>
            <w:top w:val="none" w:sz="0" w:space="0" w:color="auto"/>
            <w:left w:val="none" w:sz="0" w:space="0" w:color="auto"/>
            <w:bottom w:val="none" w:sz="0" w:space="0" w:color="auto"/>
            <w:right w:val="none" w:sz="0" w:space="0" w:color="auto"/>
          </w:divBdr>
          <w:divsChild>
            <w:div w:id="423452290">
              <w:marLeft w:val="0"/>
              <w:marRight w:val="0"/>
              <w:marTop w:val="0"/>
              <w:marBottom w:val="0"/>
              <w:divBdr>
                <w:top w:val="none" w:sz="0" w:space="0" w:color="auto"/>
                <w:left w:val="none" w:sz="0" w:space="0" w:color="auto"/>
                <w:bottom w:val="none" w:sz="0" w:space="0" w:color="auto"/>
                <w:right w:val="none" w:sz="0" w:space="0" w:color="auto"/>
              </w:divBdr>
            </w:div>
          </w:divsChild>
        </w:div>
        <w:div w:id="644241544">
          <w:marLeft w:val="0"/>
          <w:marRight w:val="0"/>
          <w:marTop w:val="180"/>
          <w:marBottom w:val="60"/>
          <w:divBdr>
            <w:top w:val="single" w:sz="12" w:space="2" w:color="000000"/>
            <w:left w:val="single" w:sz="12" w:space="3" w:color="000000"/>
            <w:bottom w:val="single" w:sz="12" w:space="2" w:color="000000"/>
            <w:right w:val="single" w:sz="12" w:space="3" w:color="000000"/>
          </w:divBdr>
        </w:div>
        <w:div w:id="984431447">
          <w:marLeft w:val="0"/>
          <w:marRight w:val="0"/>
          <w:marTop w:val="300"/>
          <w:marBottom w:val="0"/>
          <w:divBdr>
            <w:top w:val="none" w:sz="0" w:space="0" w:color="auto"/>
            <w:left w:val="none" w:sz="0" w:space="0" w:color="auto"/>
            <w:bottom w:val="none" w:sz="0" w:space="0" w:color="auto"/>
            <w:right w:val="none" w:sz="0" w:space="0" w:color="auto"/>
          </w:divBdr>
          <w:divsChild>
            <w:div w:id="318776781">
              <w:marLeft w:val="0"/>
              <w:marRight w:val="0"/>
              <w:marTop w:val="0"/>
              <w:marBottom w:val="0"/>
              <w:divBdr>
                <w:top w:val="none" w:sz="0" w:space="0" w:color="auto"/>
                <w:left w:val="none" w:sz="0" w:space="0" w:color="auto"/>
                <w:bottom w:val="none" w:sz="0" w:space="0" w:color="auto"/>
                <w:right w:val="none" w:sz="0" w:space="0" w:color="auto"/>
              </w:divBdr>
              <w:divsChild>
                <w:div w:id="936136500">
                  <w:marLeft w:val="0"/>
                  <w:marRight w:val="840"/>
                  <w:marTop w:val="180"/>
                  <w:marBottom w:val="180"/>
                  <w:divBdr>
                    <w:top w:val="none" w:sz="0" w:space="0" w:color="auto"/>
                    <w:left w:val="none" w:sz="0" w:space="0" w:color="auto"/>
                    <w:bottom w:val="none" w:sz="0" w:space="0" w:color="auto"/>
                    <w:right w:val="none" w:sz="0" w:space="0" w:color="auto"/>
                  </w:divBdr>
                </w:div>
              </w:divsChild>
            </w:div>
          </w:divsChild>
        </w:div>
      </w:divsChild>
    </w:div>
    <w:div w:id="96023985">
      <w:bodyDiv w:val="1"/>
      <w:marLeft w:val="0"/>
      <w:marRight w:val="0"/>
      <w:marTop w:val="0"/>
      <w:marBottom w:val="0"/>
      <w:divBdr>
        <w:top w:val="none" w:sz="0" w:space="0" w:color="auto"/>
        <w:left w:val="none" w:sz="0" w:space="0" w:color="auto"/>
        <w:bottom w:val="none" w:sz="0" w:space="0" w:color="auto"/>
        <w:right w:val="none" w:sz="0" w:space="0" w:color="auto"/>
      </w:divBdr>
    </w:div>
    <w:div w:id="141852048">
      <w:bodyDiv w:val="1"/>
      <w:marLeft w:val="0"/>
      <w:marRight w:val="0"/>
      <w:marTop w:val="0"/>
      <w:marBottom w:val="0"/>
      <w:divBdr>
        <w:top w:val="none" w:sz="0" w:space="0" w:color="auto"/>
        <w:left w:val="none" w:sz="0" w:space="0" w:color="auto"/>
        <w:bottom w:val="none" w:sz="0" w:space="0" w:color="auto"/>
        <w:right w:val="none" w:sz="0" w:space="0" w:color="auto"/>
      </w:divBdr>
    </w:div>
    <w:div w:id="174999211">
      <w:bodyDiv w:val="1"/>
      <w:marLeft w:val="0"/>
      <w:marRight w:val="0"/>
      <w:marTop w:val="0"/>
      <w:marBottom w:val="0"/>
      <w:divBdr>
        <w:top w:val="none" w:sz="0" w:space="0" w:color="auto"/>
        <w:left w:val="none" w:sz="0" w:space="0" w:color="auto"/>
        <w:bottom w:val="none" w:sz="0" w:space="0" w:color="auto"/>
        <w:right w:val="none" w:sz="0" w:space="0" w:color="auto"/>
      </w:divBdr>
    </w:div>
    <w:div w:id="240143845">
      <w:bodyDiv w:val="1"/>
      <w:marLeft w:val="0"/>
      <w:marRight w:val="0"/>
      <w:marTop w:val="0"/>
      <w:marBottom w:val="0"/>
      <w:divBdr>
        <w:top w:val="none" w:sz="0" w:space="0" w:color="auto"/>
        <w:left w:val="none" w:sz="0" w:space="0" w:color="auto"/>
        <w:bottom w:val="none" w:sz="0" w:space="0" w:color="auto"/>
        <w:right w:val="none" w:sz="0" w:space="0" w:color="auto"/>
      </w:divBdr>
    </w:div>
    <w:div w:id="249125547">
      <w:bodyDiv w:val="1"/>
      <w:marLeft w:val="0"/>
      <w:marRight w:val="0"/>
      <w:marTop w:val="0"/>
      <w:marBottom w:val="0"/>
      <w:divBdr>
        <w:top w:val="none" w:sz="0" w:space="0" w:color="auto"/>
        <w:left w:val="none" w:sz="0" w:space="0" w:color="auto"/>
        <w:bottom w:val="none" w:sz="0" w:space="0" w:color="auto"/>
        <w:right w:val="none" w:sz="0" w:space="0" w:color="auto"/>
      </w:divBdr>
    </w:div>
    <w:div w:id="281888825">
      <w:bodyDiv w:val="1"/>
      <w:marLeft w:val="0"/>
      <w:marRight w:val="0"/>
      <w:marTop w:val="0"/>
      <w:marBottom w:val="0"/>
      <w:divBdr>
        <w:top w:val="none" w:sz="0" w:space="0" w:color="auto"/>
        <w:left w:val="none" w:sz="0" w:space="0" w:color="auto"/>
        <w:bottom w:val="none" w:sz="0" w:space="0" w:color="auto"/>
        <w:right w:val="none" w:sz="0" w:space="0" w:color="auto"/>
      </w:divBdr>
    </w:div>
    <w:div w:id="296103657">
      <w:bodyDiv w:val="1"/>
      <w:marLeft w:val="0"/>
      <w:marRight w:val="0"/>
      <w:marTop w:val="0"/>
      <w:marBottom w:val="0"/>
      <w:divBdr>
        <w:top w:val="none" w:sz="0" w:space="0" w:color="auto"/>
        <w:left w:val="none" w:sz="0" w:space="0" w:color="auto"/>
        <w:bottom w:val="none" w:sz="0" w:space="0" w:color="auto"/>
        <w:right w:val="none" w:sz="0" w:space="0" w:color="auto"/>
      </w:divBdr>
    </w:div>
    <w:div w:id="297153388">
      <w:bodyDiv w:val="1"/>
      <w:marLeft w:val="0"/>
      <w:marRight w:val="0"/>
      <w:marTop w:val="0"/>
      <w:marBottom w:val="0"/>
      <w:divBdr>
        <w:top w:val="none" w:sz="0" w:space="0" w:color="auto"/>
        <w:left w:val="none" w:sz="0" w:space="0" w:color="auto"/>
        <w:bottom w:val="none" w:sz="0" w:space="0" w:color="auto"/>
        <w:right w:val="none" w:sz="0" w:space="0" w:color="auto"/>
      </w:divBdr>
    </w:div>
    <w:div w:id="345713770">
      <w:bodyDiv w:val="1"/>
      <w:marLeft w:val="0"/>
      <w:marRight w:val="0"/>
      <w:marTop w:val="0"/>
      <w:marBottom w:val="0"/>
      <w:divBdr>
        <w:top w:val="none" w:sz="0" w:space="0" w:color="auto"/>
        <w:left w:val="none" w:sz="0" w:space="0" w:color="auto"/>
        <w:bottom w:val="none" w:sz="0" w:space="0" w:color="auto"/>
        <w:right w:val="none" w:sz="0" w:space="0" w:color="auto"/>
      </w:divBdr>
    </w:div>
    <w:div w:id="360714981">
      <w:bodyDiv w:val="1"/>
      <w:marLeft w:val="0"/>
      <w:marRight w:val="0"/>
      <w:marTop w:val="0"/>
      <w:marBottom w:val="0"/>
      <w:divBdr>
        <w:top w:val="none" w:sz="0" w:space="0" w:color="auto"/>
        <w:left w:val="none" w:sz="0" w:space="0" w:color="auto"/>
        <w:bottom w:val="none" w:sz="0" w:space="0" w:color="auto"/>
        <w:right w:val="none" w:sz="0" w:space="0" w:color="auto"/>
      </w:divBdr>
    </w:div>
    <w:div w:id="377167693">
      <w:bodyDiv w:val="1"/>
      <w:marLeft w:val="0"/>
      <w:marRight w:val="0"/>
      <w:marTop w:val="0"/>
      <w:marBottom w:val="0"/>
      <w:divBdr>
        <w:top w:val="none" w:sz="0" w:space="0" w:color="auto"/>
        <w:left w:val="none" w:sz="0" w:space="0" w:color="auto"/>
        <w:bottom w:val="none" w:sz="0" w:space="0" w:color="auto"/>
        <w:right w:val="none" w:sz="0" w:space="0" w:color="auto"/>
      </w:divBdr>
      <w:divsChild>
        <w:div w:id="2133791333">
          <w:marLeft w:val="0"/>
          <w:marRight w:val="360"/>
          <w:marTop w:val="0"/>
          <w:marBottom w:val="0"/>
          <w:divBdr>
            <w:top w:val="none" w:sz="0" w:space="0" w:color="auto"/>
            <w:left w:val="none" w:sz="0" w:space="0" w:color="auto"/>
            <w:bottom w:val="none" w:sz="0" w:space="0" w:color="auto"/>
            <w:right w:val="none" w:sz="0" w:space="0" w:color="auto"/>
          </w:divBdr>
          <w:divsChild>
            <w:div w:id="1190143162">
              <w:marLeft w:val="0"/>
              <w:marRight w:val="0"/>
              <w:marTop w:val="0"/>
              <w:marBottom w:val="0"/>
              <w:divBdr>
                <w:top w:val="none" w:sz="0" w:space="0" w:color="auto"/>
                <w:left w:val="none" w:sz="0" w:space="0" w:color="auto"/>
                <w:bottom w:val="none" w:sz="0" w:space="0" w:color="auto"/>
                <w:right w:val="none" w:sz="0" w:space="0" w:color="auto"/>
              </w:divBdr>
            </w:div>
          </w:divsChild>
        </w:div>
        <w:div w:id="1010520604">
          <w:marLeft w:val="0"/>
          <w:marRight w:val="0"/>
          <w:marTop w:val="180"/>
          <w:marBottom w:val="60"/>
          <w:divBdr>
            <w:top w:val="single" w:sz="12" w:space="2" w:color="000000"/>
            <w:left w:val="single" w:sz="12" w:space="3" w:color="000000"/>
            <w:bottom w:val="single" w:sz="12" w:space="2" w:color="000000"/>
            <w:right w:val="single" w:sz="12" w:space="3" w:color="000000"/>
          </w:divBdr>
        </w:div>
        <w:div w:id="135732450">
          <w:marLeft w:val="0"/>
          <w:marRight w:val="0"/>
          <w:marTop w:val="300"/>
          <w:marBottom w:val="0"/>
          <w:divBdr>
            <w:top w:val="none" w:sz="0" w:space="0" w:color="auto"/>
            <w:left w:val="none" w:sz="0" w:space="0" w:color="auto"/>
            <w:bottom w:val="none" w:sz="0" w:space="0" w:color="auto"/>
            <w:right w:val="none" w:sz="0" w:space="0" w:color="auto"/>
          </w:divBdr>
          <w:divsChild>
            <w:div w:id="20084588">
              <w:marLeft w:val="0"/>
              <w:marRight w:val="0"/>
              <w:marTop w:val="0"/>
              <w:marBottom w:val="0"/>
              <w:divBdr>
                <w:top w:val="none" w:sz="0" w:space="0" w:color="auto"/>
                <w:left w:val="none" w:sz="0" w:space="0" w:color="auto"/>
                <w:bottom w:val="none" w:sz="0" w:space="0" w:color="auto"/>
                <w:right w:val="none" w:sz="0" w:space="0" w:color="auto"/>
              </w:divBdr>
              <w:divsChild>
                <w:div w:id="795220924">
                  <w:marLeft w:val="0"/>
                  <w:marRight w:val="840"/>
                  <w:marTop w:val="180"/>
                  <w:marBottom w:val="180"/>
                  <w:divBdr>
                    <w:top w:val="none" w:sz="0" w:space="0" w:color="auto"/>
                    <w:left w:val="none" w:sz="0" w:space="0" w:color="auto"/>
                    <w:bottom w:val="none" w:sz="0" w:space="0" w:color="auto"/>
                    <w:right w:val="none" w:sz="0" w:space="0" w:color="auto"/>
                  </w:divBdr>
                </w:div>
              </w:divsChild>
            </w:div>
          </w:divsChild>
        </w:div>
      </w:divsChild>
    </w:div>
    <w:div w:id="528226096">
      <w:bodyDiv w:val="1"/>
      <w:marLeft w:val="0"/>
      <w:marRight w:val="0"/>
      <w:marTop w:val="0"/>
      <w:marBottom w:val="0"/>
      <w:divBdr>
        <w:top w:val="none" w:sz="0" w:space="0" w:color="auto"/>
        <w:left w:val="none" w:sz="0" w:space="0" w:color="auto"/>
        <w:bottom w:val="none" w:sz="0" w:space="0" w:color="auto"/>
        <w:right w:val="none" w:sz="0" w:space="0" w:color="auto"/>
      </w:divBdr>
    </w:div>
    <w:div w:id="602955255">
      <w:bodyDiv w:val="1"/>
      <w:marLeft w:val="0"/>
      <w:marRight w:val="0"/>
      <w:marTop w:val="0"/>
      <w:marBottom w:val="0"/>
      <w:divBdr>
        <w:top w:val="none" w:sz="0" w:space="0" w:color="auto"/>
        <w:left w:val="none" w:sz="0" w:space="0" w:color="auto"/>
        <w:bottom w:val="none" w:sz="0" w:space="0" w:color="auto"/>
        <w:right w:val="none" w:sz="0" w:space="0" w:color="auto"/>
      </w:divBdr>
    </w:div>
    <w:div w:id="631863471">
      <w:bodyDiv w:val="1"/>
      <w:marLeft w:val="0"/>
      <w:marRight w:val="0"/>
      <w:marTop w:val="0"/>
      <w:marBottom w:val="0"/>
      <w:divBdr>
        <w:top w:val="none" w:sz="0" w:space="0" w:color="auto"/>
        <w:left w:val="none" w:sz="0" w:space="0" w:color="auto"/>
        <w:bottom w:val="none" w:sz="0" w:space="0" w:color="auto"/>
        <w:right w:val="none" w:sz="0" w:space="0" w:color="auto"/>
      </w:divBdr>
    </w:div>
    <w:div w:id="643856124">
      <w:bodyDiv w:val="1"/>
      <w:marLeft w:val="0"/>
      <w:marRight w:val="0"/>
      <w:marTop w:val="0"/>
      <w:marBottom w:val="0"/>
      <w:divBdr>
        <w:top w:val="none" w:sz="0" w:space="0" w:color="auto"/>
        <w:left w:val="none" w:sz="0" w:space="0" w:color="auto"/>
        <w:bottom w:val="none" w:sz="0" w:space="0" w:color="auto"/>
        <w:right w:val="none" w:sz="0" w:space="0" w:color="auto"/>
      </w:divBdr>
    </w:div>
    <w:div w:id="689071221">
      <w:bodyDiv w:val="1"/>
      <w:marLeft w:val="0"/>
      <w:marRight w:val="0"/>
      <w:marTop w:val="0"/>
      <w:marBottom w:val="0"/>
      <w:divBdr>
        <w:top w:val="none" w:sz="0" w:space="0" w:color="auto"/>
        <w:left w:val="none" w:sz="0" w:space="0" w:color="auto"/>
        <w:bottom w:val="none" w:sz="0" w:space="0" w:color="auto"/>
        <w:right w:val="none" w:sz="0" w:space="0" w:color="auto"/>
      </w:divBdr>
    </w:div>
    <w:div w:id="703868322">
      <w:bodyDiv w:val="1"/>
      <w:marLeft w:val="0"/>
      <w:marRight w:val="0"/>
      <w:marTop w:val="0"/>
      <w:marBottom w:val="0"/>
      <w:divBdr>
        <w:top w:val="none" w:sz="0" w:space="0" w:color="auto"/>
        <w:left w:val="none" w:sz="0" w:space="0" w:color="auto"/>
        <w:bottom w:val="none" w:sz="0" w:space="0" w:color="auto"/>
        <w:right w:val="none" w:sz="0" w:space="0" w:color="auto"/>
      </w:divBdr>
    </w:div>
    <w:div w:id="718750693">
      <w:bodyDiv w:val="1"/>
      <w:marLeft w:val="0"/>
      <w:marRight w:val="0"/>
      <w:marTop w:val="0"/>
      <w:marBottom w:val="0"/>
      <w:divBdr>
        <w:top w:val="none" w:sz="0" w:space="0" w:color="auto"/>
        <w:left w:val="none" w:sz="0" w:space="0" w:color="auto"/>
        <w:bottom w:val="none" w:sz="0" w:space="0" w:color="auto"/>
        <w:right w:val="none" w:sz="0" w:space="0" w:color="auto"/>
      </w:divBdr>
    </w:div>
    <w:div w:id="798688634">
      <w:bodyDiv w:val="1"/>
      <w:marLeft w:val="0"/>
      <w:marRight w:val="0"/>
      <w:marTop w:val="0"/>
      <w:marBottom w:val="0"/>
      <w:divBdr>
        <w:top w:val="none" w:sz="0" w:space="0" w:color="auto"/>
        <w:left w:val="none" w:sz="0" w:space="0" w:color="auto"/>
        <w:bottom w:val="none" w:sz="0" w:space="0" w:color="auto"/>
        <w:right w:val="none" w:sz="0" w:space="0" w:color="auto"/>
      </w:divBdr>
    </w:div>
    <w:div w:id="889877844">
      <w:bodyDiv w:val="1"/>
      <w:marLeft w:val="0"/>
      <w:marRight w:val="0"/>
      <w:marTop w:val="0"/>
      <w:marBottom w:val="0"/>
      <w:divBdr>
        <w:top w:val="none" w:sz="0" w:space="0" w:color="auto"/>
        <w:left w:val="none" w:sz="0" w:space="0" w:color="auto"/>
        <w:bottom w:val="none" w:sz="0" w:space="0" w:color="auto"/>
        <w:right w:val="none" w:sz="0" w:space="0" w:color="auto"/>
      </w:divBdr>
    </w:div>
    <w:div w:id="909116221">
      <w:bodyDiv w:val="1"/>
      <w:marLeft w:val="0"/>
      <w:marRight w:val="0"/>
      <w:marTop w:val="0"/>
      <w:marBottom w:val="0"/>
      <w:divBdr>
        <w:top w:val="none" w:sz="0" w:space="0" w:color="auto"/>
        <w:left w:val="none" w:sz="0" w:space="0" w:color="auto"/>
        <w:bottom w:val="none" w:sz="0" w:space="0" w:color="auto"/>
        <w:right w:val="none" w:sz="0" w:space="0" w:color="auto"/>
      </w:divBdr>
    </w:div>
    <w:div w:id="941184696">
      <w:bodyDiv w:val="1"/>
      <w:marLeft w:val="0"/>
      <w:marRight w:val="0"/>
      <w:marTop w:val="0"/>
      <w:marBottom w:val="0"/>
      <w:divBdr>
        <w:top w:val="none" w:sz="0" w:space="0" w:color="auto"/>
        <w:left w:val="none" w:sz="0" w:space="0" w:color="auto"/>
        <w:bottom w:val="none" w:sz="0" w:space="0" w:color="auto"/>
        <w:right w:val="none" w:sz="0" w:space="0" w:color="auto"/>
      </w:divBdr>
    </w:div>
    <w:div w:id="951935266">
      <w:bodyDiv w:val="1"/>
      <w:marLeft w:val="0"/>
      <w:marRight w:val="0"/>
      <w:marTop w:val="0"/>
      <w:marBottom w:val="0"/>
      <w:divBdr>
        <w:top w:val="none" w:sz="0" w:space="0" w:color="auto"/>
        <w:left w:val="none" w:sz="0" w:space="0" w:color="auto"/>
        <w:bottom w:val="none" w:sz="0" w:space="0" w:color="auto"/>
        <w:right w:val="none" w:sz="0" w:space="0" w:color="auto"/>
      </w:divBdr>
    </w:div>
    <w:div w:id="994072663">
      <w:bodyDiv w:val="1"/>
      <w:marLeft w:val="0"/>
      <w:marRight w:val="0"/>
      <w:marTop w:val="0"/>
      <w:marBottom w:val="0"/>
      <w:divBdr>
        <w:top w:val="none" w:sz="0" w:space="0" w:color="auto"/>
        <w:left w:val="none" w:sz="0" w:space="0" w:color="auto"/>
        <w:bottom w:val="none" w:sz="0" w:space="0" w:color="auto"/>
        <w:right w:val="none" w:sz="0" w:space="0" w:color="auto"/>
      </w:divBdr>
    </w:div>
    <w:div w:id="1006903627">
      <w:bodyDiv w:val="1"/>
      <w:marLeft w:val="0"/>
      <w:marRight w:val="0"/>
      <w:marTop w:val="0"/>
      <w:marBottom w:val="0"/>
      <w:divBdr>
        <w:top w:val="none" w:sz="0" w:space="0" w:color="auto"/>
        <w:left w:val="none" w:sz="0" w:space="0" w:color="auto"/>
        <w:bottom w:val="none" w:sz="0" w:space="0" w:color="auto"/>
        <w:right w:val="none" w:sz="0" w:space="0" w:color="auto"/>
      </w:divBdr>
    </w:div>
    <w:div w:id="1057046150">
      <w:bodyDiv w:val="1"/>
      <w:marLeft w:val="0"/>
      <w:marRight w:val="0"/>
      <w:marTop w:val="0"/>
      <w:marBottom w:val="0"/>
      <w:divBdr>
        <w:top w:val="none" w:sz="0" w:space="0" w:color="auto"/>
        <w:left w:val="none" w:sz="0" w:space="0" w:color="auto"/>
        <w:bottom w:val="none" w:sz="0" w:space="0" w:color="auto"/>
        <w:right w:val="none" w:sz="0" w:space="0" w:color="auto"/>
      </w:divBdr>
    </w:div>
    <w:div w:id="1071732175">
      <w:bodyDiv w:val="1"/>
      <w:marLeft w:val="0"/>
      <w:marRight w:val="0"/>
      <w:marTop w:val="0"/>
      <w:marBottom w:val="0"/>
      <w:divBdr>
        <w:top w:val="none" w:sz="0" w:space="0" w:color="auto"/>
        <w:left w:val="none" w:sz="0" w:space="0" w:color="auto"/>
        <w:bottom w:val="none" w:sz="0" w:space="0" w:color="auto"/>
        <w:right w:val="none" w:sz="0" w:space="0" w:color="auto"/>
      </w:divBdr>
    </w:div>
    <w:div w:id="1127776064">
      <w:bodyDiv w:val="1"/>
      <w:marLeft w:val="0"/>
      <w:marRight w:val="0"/>
      <w:marTop w:val="0"/>
      <w:marBottom w:val="0"/>
      <w:divBdr>
        <w:top w:val="none" w:sz="0" w:space="0" w:color="auto"/>
        <w:left w:val="none" w:sz="0" w:space="0" w:color="auto"/>
        <w:bottom w:val="none" w:sz="0" w:space="0" w:color="auto"/>
        <w:right w:val="none" w:sz="0" w:space="0" w:color="auto"/>
      </w:divBdr>
    </w:div>
    <w:div w:id="1205026190">
      <w:bodyDiv w:val="1"/>
      <w:marLeft w:val="0"/>
      <w:marRight w:val="0"/>
      <w:marTop w:val="0"/>
      <w:marBottom w:val="0"/>
      <w:divBdr>
        <w:top w:val="none" w:sz="0" w:space="0" w:color="auto"/>
        <w:left w:val="none" w:sz="0" w:space="0" w:color="auto"/>
        <w:bottom w:val="none" w:sz="0" w:space="0" w:color="auto"/>
        <w:right w:val="none" w:sz="0" w:space="0" w:color="auto"/>
      </w:divBdr>
    </w:div>
    <w:div w:id="1510365665">
      <w:bodyDiv w:val="1"/>
      <w:marLeft w:val="0"/>
      <w:marRight w:val="0"/>
      <w:marTop w:val="0"/>
      <w:marBottom w:val="0"/>
      <w:divBdr>
        <w:top w:val="none" w:sz="0" w:space="0" w:color="auto"/>
        <w:left w:val="none" w:sz="0" w:space="0" w:color="auto"/>
        <w:bottom w:val="none" w:sz="0" w:space="0" w:color="auto"/>
        <w:right w:val="none" w:sz="0" w:space="0" w:color="auto"/>
      </w:divBdr>
    </w:div>
    <w:div w:id="1608199581">
      <w:bodyDiv w:val="1"/>
      <w:marLeft w:val="0"/>
      <w:marRight w:val="0"/>
      <w:marTop w:val="0"/>
      <w:marBottom w:val="0"/>
      <w:divBdr>
        <w:top w:val="none" w:sz="0" w:space="0" w:color="auto"/>
        <w:left w:val="none" w:sz="0" w:space="0" w:color="auto"/>
        <w:bottom w:val="none" w:sz="0" w:space="0" w:color="auto"/>
        <w:right w:val="none" w:sz="0" w:space="0" w:color="auto"/>
      </w:divBdr>
    </w:div>
    <w:div w:id="1668359317">
      <w:bodyDiv w:val="1"/>
      <w:marLeft w:val="0"/>
      <w:marRight w:val="0"/>
      <w:marTop w:val="0"/>
      <w:marBottom w:val="0"/>
      <w:divBdr>
        <w:top w:val="none" w:sz="0" w:space="0" w:color="auto"/>
        <w:left w:val="none" w:sz="0" w:space="0" w:color="auto"/>
        <w:bottom w:val="none" w:sz="0" w:space="0" w:color="auto"/>
        <w:right w:val="none" w:sz="0" w:space="0" w:color="auto"/>
      </w:divBdr>
    </w:div>
    <w:div w:id="1706519503">
      <w:bodyDiv w:val="1"/>
      <w:marLeft w:val="0"/>
      <w:marRight w:val="0"/>
      <w:marTop w:val="0"/>
      <w:marBottom w:val="0"/>
      <w:divBdr>
        <w:top w:val="none" w:sz="0" w:space="0" w:color="auto"/>
        <w:left w:val="none" w:sz="0" w:space="0" w:color="auto"/>
        <w:bottom w:val="none" w:sz="0" w:space="0" w:color="auto"/>
        <w:right w:val="none" w:sz="0" w:space="0" w:color="auto"/>
      </w:divBdr>
    </w:div>
    <w:div w:id="1708798059">
      <w:bodyDiv w:val="1"/>
      <w:marLeft w:val="0"/>
      <w:marRight w:val="0"/>
      <w:marTop w:val="0"/>
      <w:marBottom w:val="0"/>
      <w:divBdr>
        <w:top w:val="none" w:sz="0" w:space="0" w:color="auto"/>
        <w:left w:val="none" w:sz="0" w:space="0" w:color="auto"/>
        <w:bottom w:val="none" w:sz="0" w:space="0" w:color="auto"/>
        <w:right w:val="none" w:sz="0" w:space="0" w:color="auto"/>
      </w:divBdr>
    </w:div>
    <w:div w:id="1791244672">
      <w:bodyDiv w:val="1"/>
      <w:marLeft w:val="0"/>
      <w:marRight w:val="0"/>
      <w:marTop w:val="0"/>
      <w:marBottom w:val="0"/>
      <w:divBdr>
        <w:top w:val="none" w:sz="0" w:space="0" w:color="auto"/>
        <w:left w:val="none" w:sz="0" w:space="0" w:color="auto"/>
        <w:bottom w:val="none" w:sz="0" w:space="0" w:color="auto"/>
        <w:right w:val="none" w:sz="0" w:space="0" w:color="auto"/>
      </w:divBdr>
    </w:div>
    <w:div w:id="1791975324">
      <w:bodyDiv w:val="1"/>
      <w:marLeft w:val="0"/>
      <w:marRight w:val="0"/>
      <w:marTop w:val="0"/>
      <w:marBottom w:val="0"/>
      <w:divBdr>
        <w:top w:val="none" w:sz="0" w:space="0" w:color="auto"/>
        <w:left w:val="none" w:sz="0" w:space="0" w:color="auto"/>
        <w:bottom w:val="none" w:sz="0" w:space="0" w:color="auto"/>
        <w:right w:val="none" w:sz="0" w:space="0" w:color="auto"/>
      </w:divBdr>
    </w:div>
    <w:div w:id="1816606571">
      <w:bodyDiv w:val="1"/>
      <w:marLeft w:val="0"/>
      <w:marRight w:val="0"/>
      <w:marTop w:val="0"/>
      <w:marBottom w:val="0"/>
      <w:divBdr>
        <w:top w:val="none" w:sz="0" w:space="0" w:color="auto"/>
        <w:left w:val="none" w:sz="0" w:space="0" w:color="auto"/>
        <w:bottom w:val="none" w:sz="0" w:space="0" w:color="auto"/>
        <w:right w:val="none" w:sz="0" w:space="0" w:color="auto"/>
      </w:divBdr>
    </w:div>
    <w:div w:id="1829637069">
      <w:bodyDiv w:val="1"/>
      <w:marLeft w:val="0"/>
      <w:marRight w:val="0"/>
      <w:marTop w:val="0"/>
      <w:marBottom w:val="0"/>
      <w:divBdr>
        <w:top w:val="none" w:sz="0" w:space="0" w:color="auto"/>
        <w:left w:val="none" w:sz="0" w:space="0" w:color="auto"/>
        <w:bottom w:val="none" w:sz="0" w:space="0" w:color="auto"/>
        <w:right w:val="none" w:sz="0" w:space="0" w:color="auto"/>
      </w:divBdr>
    </w:div>
    <w:div w:id="1850749874">
      <w:bodyDiv w:val="1"/>
      <w:marLeft w:val="0"/>
      <w:marRight w:val="0"/>
      <w:marTop w:val="0"/>
      <w:marBottom w:val="0"/>
      <w:divBdr>
        <w:top w:val="none" w:sz="0" w:space="0" w:color="auto"/>
        <w:left w:val="none" w:sz="0" w:space="0" w:color="auto"/>
        <w:bottom w:val="none" w:sz="0" w:space="0" w:color="auto"/>
        <w:right w:val="none" w:sz="0" w:space="0" w:color="auto"/>
      </w:divBdr>
    </w:div>
    <w:div w:id="1909538171">
      <w:bodyDiv w:val="1"/>
      <w:marLeft w:val="0"/>
      <w:marRight w:val="0"/>
      <w:marTop w:val="0"/>
      <w:marBottom w:val="0"/>
      <w:divBdr>
        <w:top w:val="none" w:sz="0" w:space="0" w:color="auto"/>
        <w:left w:val="none" w:sz="0" w:space="0" w:color="auto"/>
        <w:bottom w:val="none" w:sz="0" w:space="0" w:color="auto"/>
        <w:right w:val="none" w:sz="0" w:space="0" w:color="auto"/>
      </w:divBdr>
    </w:div>
    <w:div w:id="1911772872">
      <w:bodyDiv w:val="1"/>
      <w:marLeft w:val="0"/>
      <w:marRight w:val="0"/>
      <w:marTop w:val="0"/>
      <w:marBottom w:val="0"/>
      <w:divBdr>
        <w:top w:val="none" w:sz="0" w:space="0" w:color="auto"/>
        <w:left w:val="none" w:sz="0" w:space="0" w:color="auto"/>
        <w:bottom w:val="none" w:sz="0" w:space="0" w:color="auto"/>
        <w:right w:val="none" w:sz="0" w:space="0" w:color="auto"/>
      </w:divBdr>
    </w:div>
    <w:div w:id="1931307470">
      <w:bodyDiv w:val="1"/>
      <w:marLeft w:val="0"/>
      <w:marRight w:val="0"/>
      <w:marTop w:val="0"/>
      <w:marBottom w:val="0"/>
      <w:divBdr>
        <w:top w:val="none" w:sz="0" w:space="0" w:color="auto"/>
        <w:left w:val="none" w:sz="0" w:space="0" w:color="auto"/>
        <w:bottom w:val="none" w:sz="0" w:space="0" w:color="auto"/>
        <w:right w:val="none" w:sz="0" w:space="0" w:color="auto"/>
      </w:divBdr>
    </w:div>
    <w:div w:id="1966886359">
      <w:bodyDiv w:val="1"/>
      <w:marLeft w:val="0"/>
      <w:marRight w:val="0"/>
      <w:marTop w:val="0"/>
      <w:marBottom w:val="0"/>
      <w:divBdr>
        <w:top w:val="none" w:sz="0" w:space="0" w:color="auto"/>
        <w:left w:val="none" w:sz="0" w:space="0" w:color="auto"/>
        <w:bottom w:val="none" w:sz="0" w:space="0" w:color="auto"/>
        <w:right w:val="none" w:sz="0" w:space="0" w:color="auto"/>
      </w:divBdr>
      <w:divsChild>
        <w:div w:id="523247035">
          <w:marLeft w:val="0"/>
          <w:marRight w:val="360"/>
          <w:marTop w:val="0"/>
          <w:marBottom w:val="0"/>
          <w:divBdr>
            <w:top w:val="none" w:sz="0" w:space="0" w:color="auto"/>
            <w:left w:val="none" w:sz="0" w:space="0" w:color="auto"/>
            <w:bottom w:val="none" w:sz="0" w:space="0" w:color="auto"/>
            <w:right w:val="none" w:sz="0" w:space="0" w:color="auto"/>
          </w:divBdr>
          <w:divsChild>
            <w:div w:id="1563366245">
              <w:marLeft w:val="0"/>
              <w:marRight w:val="0"/>
              <w:marTop w:val="0"/>
              <w:marBottom w:val="0"/>
              <w:divBdr>
                <w:top w:val="none" w:sz="0" w:space="0" w:color="auto"/>
                <w:left w:val="none" w:sz="0" w:space="0" w:color="auto"/>
                <w:bottom w:val="none" w:sz="0" w:space="0" w:color="auto"/>
                <w:right w:val="none" w:sz="0" w:space="0" w:color="auto"/>
              </w:divBdr>
            </w:div>
          </w:divsChild>
        </w:div>
        <w:div w:id="599726417">
          <w:marLeft w:val="0"/>
          <w:marRight w:val="0"/>
          <w:marTop w:val="180"/>
          <w:marBottom w:val="60"/>
          <w:divBdr>
            <w:top w:val="single" w:sz="12" w:space="2" w:color="000000"/>
            <w:left w:val="single" w:sz="12" w:space="3" w:color="000000"/>
            <w:bottom w:val="single" w:sz="12" w:space="2" w:color="000000"/>
            <w:right w:val="single" w:sz="12" w:space="3" w:color="000000"/>
          </w:divBdr>
        </w:div>
        <w:div w:id="2037922636">
          <w:marLeft w:val="0"/>
          <w:marRight w:val="0"/>
          <w:marTop w:val="300"/>
          <w:marBottom w:val="0"/>
          <w:divBdr>
            <w:top w:val="none" w:sz="0" w:space="0" w:color="auto"/>
            <w:left w:val="none" w:sz="0" w:space="0" w:color="auto"/>
            <w:bottom w:val="none" w:sz="0" w:space="0" w:color="auto"/>
            <w:right w:val="none" w:sz="0" w:space="0" w:color="auto"/>
          </w:divBdr>
          <w:divsChild>
            <w:div w:id="301891279">
              <w:marLeft w:val="0"/>
              <w:marRight w:val="0"/>
              <w:marTop w:val="0"/>
              <w:marBottom w:val="0"/>
              <w:divBdr>
                <w:top w:val="none" w:sz="0" w:space="0" w:color="auto"/>
                <w:left w:val="none" w:sz="0" w:space="0" w:color="auto"/>
                <w:bottom w:val="none" w:sz="0" w:space="0" w:color="auto"/>
                <w:right w:val="none" w:sz="0" w:space="0" w:color="auto"/>
              </w:divBdr>
              <w:divsChild>
                <w:div w:id="1391884190">
                  <w:marLeft w:val="0"/>
                  <w:marRight w:val="840"/>
                  <w:marTop w:val="180"/>
                  <w:marBottom w:val="180"/>
                  <w:divBdr>
                    <w:top w:val="none" w:sz="0" w:space="0" w:color="auto"/>
                    <w:left w:val="none" w:sz="0" w:space="0" w:color="auto"/>
                    <w:bottom w:val="none" w:sz="0" w:space="0" w:color="auto"/>
                    <w:right w:val="none" w:sz="0" w:space="0" w:color="auto"/>
                  </w:divBdr>
                </w:div>
              </w:divsChild>
            </w:div>
          </w:divsChild>
        </w:div>
      </w:divsChild>
    </w:div>
    <w:div w:id="1999070570">
      <w:bodyDiv w:val="1"/>
      <w:marLeft w:val="0"/>
      <w:marRight w:val="0"/>
      <w:marTop w:val="0"/>
      <w:marBottom w:val="0"/>
      <w:divBdr>
        <w:top w:val="none" w:sz="0" w:space="0" w:color="auto"/>
        <w:left w:val="none" w:sz="0" w:space="0" w:color="auto"/>
        <w:bottom w:val="none" w:sz="0" w:space="0" w:color="auto"/>
        <w:right w:val="none" w:sz="0" w:space="0" w:color="auto"/>
      </w:divBdr>
    </w:div>
    <w:div w:id="2055502607">
      <w:bodyDiv w:val="1"/>
      <w:marLeft w:val="0"/>
      <w:marRight w:val="0"/>
      <w:marTop w:val="0"/>
      <w:marBottom w:val="0"/>
      <w:divBdr>
        <w:top w:val="none" w:sz="0" w:space="0" w:color="auto"/>
        <w:left w:val="none" w:sz="0" w:space="0" w:color="auto"/>
        <w:bottom w:val="none" w:sz="0" w:space="0" w:color="auto"/>
        <w:right w:val="none" w:sz="0" w:space="0" w:color="auto"/>
      </w:divBdr>
      <w:divsChild>
        <w:div w:id="1175612223">
          <w:marLeft w:val="0"/>
          <w:marRight w:val="360"/>
          <w:marTop w:val="0"/>
          <w:marBottom w:val="0"/>
          <w:divBdr>
            <w:top w:val="none" w:sz="0" w:space="0" w:color="auto"/>
            <w:left w:val="none" w:sz="0" w:space="0" w:color="auto"/>
            <w:bottom w:val="none" w:sz="0" w:space="0" w:color="auto"/>
            <w:right w:val="none" w:sz="0" w:space="0" w:color="auto"/>
          </w:divBdr>
          <w:divsChild>
            <w:div w:id="284778308">
              <w:marLeft w:val="0"/>
              <w:marRight w:val="0"/>
              <w:marTop w:val="0"/>
              <w:marBottom w:val="0"/>
              <w:divBdr>
                <w:top w:val="none" w:sz="0" w:space="0" w:color="auto"/>
                <w:left w:val="none" w:sz="0" w:space="0" w:color="auto"/>
                <w:bottom w:val="none" w:sz="0" w:space="0" w:color="auto"/>
                <w:right w:val="none" w:sz="0" w:space="0" w:color="auto"/>
              </w:divBdr>
            </w:div>
          </w:divsChild>
        </w:div>
        <w:div w:id="1782067567">
          <w:marLeft w:val="0"/>
          <w:marRight w:val="0"/>
          <w:marTop w:val="180"/>
          <w:marBottom w:val="60"/>
          <w:divBdr>
            <w:top w:val="single" w:sz="12" w:space="2" w:color="000000"/>
            <w:left w:val="single" w:sz="12" w:space="3" w:color="000000"/>
            <w:bottom w:val="single" w:sz="12" w:space="2" w:color="000000"/>
            <w:right w:val="single" w:sz="12" w:space="3" w:color="000000"/>
          </w:divBdr>
        </w:div>
        <w:div w:id="1149205459">
          <w:marLeft w:val="0"/>
          <w:marRight w:val="0"/>
          <w:marTop w:val="300"/>
          <w:marBottom w:val="0"/>
          <w:divBdr>
            <w:top w:val="none" w:sz="0" w:space="0" w:color="auto"/>
            <w:left w:val="none" w:sz="0" w:space="0" w:color="auto"/>
            <w:bottom w:val="none" w:sz="0" w:space="0" w:color="auto"/>
            <w:right w:val="none" w:sz="0" w:space="0" w:color="auto"/>
          </w:divBdr>
          <w:divsChild>
            <w:div w:id="1822575553">
              <w:marLeft w:val="0"/>
              <w:marRight w:val="0"/>
              <w:marTop w:val="0"/>
              <w:marBottom w:val="0"/>
              <w:divBdr>
                <w:top w:val="none" w:sz="0" w:space="0" w:color="auto"/>
                <w:left w:val="none" w:sz="0" w:space="0" w:color="auto"/>
                <w:bottom w:val="none" w:sz="0" w:space="0" w:color="auto"/>
                <w:right w:val="none" w:sz="0" w:space="0" w:color="auto"/>
              </w:divBdr>
              <w:divsChild>
                <w:div w:id="859663991">
                  <w:marLeft w:val="0"/>
                  <w:marRight w:val="84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4CB8-0D5E-4B29-91A6-CC50222D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4773</Words>
  <Characters>25302</Characters>
  <Application>Microsoft Office Word</Application>
  <DocSecurity>0</DocSecurity>
  <Lines>210</Lines>
  <Paragraphs>60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2020-08-10T11:03:00Z</dcterms:created>
  <dcterms:modified xsi:type="dcterms:W3CDTF">2021-02-08T08:32:00Z</dcterms:modified>
</cp:coreProperties>
</file>