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11" w:rsidRDefault="00D26D11" w:rsidP="00033FB6">
      <w:pPr>
        <w:pStyle w:val="KTHTitel"/>
        <w:rPr>
          <w:lang w:val="en-US"/>
        </w:rPr>
      </w:pPr>
      <w:r>
        <w:rPr>
          <w:noProof/>
          <w:lang w:eastAsia="sv-SE"/>
        </w:rPr>
        <w:drawing>
          <wp:inline distT="0" distB="0" distL="0" distR="0" wp14:anchorId="4A0E133D" wp14:editId="1904EFCB">
            <wp:extent cx="904240" cy="904240"/>
            <wp:effectExtent l="0" t="0" r="0" b="0"/>
            <wp:docPr id="2" name="Bildobjekt 2" descr="k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p>
    <w:p w:rsidR="00D26D11" w:rsidRDefault="00D26D11" w:rsidP="00033FB6">
      <w:pPr>
        <w:pStyle w:val="KTHTitel"/>
        <w:rPr>
          <w:lang w:val="en-US"/>
        </w:rPr>
      </w:pPr>
    </w:p>
    <w:p w:rsidR="002C0341" w:rsidRDefault="002C0341" w:rsidP="002C0341">
      <w:pPr>
        <w:pStyle w:val="Brdtext"/>
        <w:rPr>
          <w:lang w:val="en-US"/>
        </w:rPr>
      </w:pPr>
    </w:p>
    <w:p w:rsidR="002C0341" w:rsidRDefault="002C0341" w:rsidP="002C0341">
      <w:pPr>
        <w:pStyle w:val="Brdtext"/>
        <w:rPr>
          <w:lang w:val="en-US"/>
        </w:rPr>
      </w:pPr>
    </w:p>
    <w:p w:rsidR="002C0341" w:rsidRDefault="002C0341" w:rsidP="002C0341">
      <w:pPr>
        <w:pStyle w:val="Brdtext"/>
        <w:rPr>
          <w:lang w:val="en-US"/>
        </w:rPr>
      </w:pPr>
    </w:p>
    <w:p w:rsidR="00097F05" w:rsidRDefault="00097F05" w:rsidP="002C0341">
      <w:pPr>
        <w:pStyle w:val="Brdtext"/>
        <w:rPr>
          <w:lang w:val="en-US"/>
        </w:rPr>
      </w:pPr>
    </w:p>
    <w:p w:rsidR="002C0341" w:rsidRPr="002C0341" w:rsidRDefault="002C0341" w:rsidP="002C0341">
      <w:pPr>
        <w:pStyle w:val="Brdtext"/>
        <w:rPr>
          <w:lang w:val="en-US"/>
        </w:rPr>
      </w:pPr>
    </w:p>
    <w:p w:rsidR="007F2A47" w:rsidRPr="00187448" w:rsidRDefault="00033FB6" w:rsidP="00033FB6">
      <w:pPr>
        <w:pStyle w:val="KTHTitel"/>
        <w:rPr>
          <w:sz w:val="48"/>
          <w:szCs w:val="48"/>
          <w:lang w:val="en-US"/>
        </w:rPr>
      </w:pPr>
      <w:r w:rsidRPr="00187448">
        <w:rPr>
          <w:sz w:val="48"/>
          <w:szCs w:val="48"/>
          <w:lang w:val="en-US"/>
        </w:rPr>
        <w:t>P.M.</w:t>
      </w:r>
      <w:r w:rsidR="00601510" w:rsidRPr="00187448">
        <w:rPr>
          <w:sz w:val="48"/>
          <w:szCs w:val="48"/>
          <w:lang w:val="en-US"/>
        </w:rPr>
        <w:t xml:space="preserve"> </w:t>
      </w:r>
      <w:r w:rsidR="007F2A47" w:rsidRPr="00187448">
        <w:rPr>
          <w:sz w:val="48"/>
          <w:szCs w:val="48"/>
          <w:lang w:val="en-US"/>
        </w:rPr>
        <w:t>THE Impact rankings</w:t>
      </w:r>
    </w:p>
    <w:p w:rsidR="00BD3C5D" w:rsidRPr="00C34530" w:rsidRDefault="00BD3C5D" w:rsidP="00BD3C5D">
      <w:pPr>
        <w:pStyle w:val="Brdtext"/>
        <w:rPr>
          <w:lang w:val="en-US"/>
        </w:rPr>
      </w:pPr>
      <w:r w:rsidRPr="00C34530">
        <w:rPr>
          <w:lang w:val="en-US"/>
        </w:rPr>
        <w:t>Per-Anders Östling</w:t>
      </w:r>
    </w:p>
    <w:p w:rsidR="00BD3C5D" w:rsidRDefault="00BD3C5D"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p w:rsidR="002C0341" w:rsidRDefault="002C0341" w:rsidP="00BD3C5D">
      <w:pPr>
        <w:pStyle w:val="Brdtext"/>
        <w:rPr>
          <w:lang w:val="en-US"/>
        </w:rPr>
      </w:pPr>
    </w:p>
    <w:sdt>
      <w:sdtPr>
        <w:rPr>
          <w:rFonts w:asciiTheme="minorHAnsi" w:hAnsiTheme="minorHAnsi"/>
          <w:b w:val="0"/>
          <w:sz w:val="20"/>
        </w:rPr>
        <w:id w:val="-998969859"/>
        <w:docPartObj>
          <w:docPartGallery w:val="Table of Contents"/>
          <w:docPartUnique/>
        </w:docPartObj>
      </w:sdtPr>
      <w:sdtEndPr>
        <w:rPr>
          <w:bCs/>
        </w:rPr>
      </w:sdtEndPr>
      <w:sdtContent>
        <w:p w:rsidR="002C0341" w:rsidRDefault="002C0341">
          <w:pPr>
            <w:pStyle w:val="Innehllsfrteckningsrubrik"/>
          </w:pPr>
          <w:r>
            <w:t>Innehåll</w:t>
          </w:r>
        </w:p>
        <w:p w:rsidR="00117E2F" w:rsidRDefault="002C0341">
          <w:pPr>
            <w:pStyle w:val="Innehll1"/>
            <w:tabs>
              <w:tab w:val="right" w:leader="dot" w:pos="9062"/>
            </w:tabs>
            <w:rPr>
              <w:rFonts w:eastAsiaTheme="minorEastAsia"/>
              <w:noProof/>
              <w:sz w:val="22"/>
              <w:szCs w:val="22"/>
              <w:lang w:eastAsia="sv-SE"/>
            </w:rPr>
          </w:pPr>
          <w:r>
            <w:fldChar w:fldCharType="begin"/>
          </w:r>
          <w:r>
            <w:instrText xml:space="preserve"> TOC \o "1-3" \h \z \u </w:instrText>
          </w:r>
          <w:r>
            <w:fldChar w:fldCharType="separate"/>
          </w:r>
          <w:hyperlink w:anchor="_Toc52351568" w:history="1">
            <w:r w:rsidR="00117E2F" w:rsidRPr="00184B6C">
              <w:rPr>
                <w:rStyle w:val="Hyperlnk"/>
                <w:noProof/>
              </w:rPr>
              <w:t>Inledning</w:t>
            </w:r>
            <w:r w:rsidR="00117E2F">
              <w:rPr>
                <w:noProof/>
                <w:webHidden/>
              </w:rPr>
              <w:tab/>
            </w:r>
            <w:r w:rsidR="00117E2F">
              <w:rPr>
                <w:noProof/>
                <w:webHidden/>
              </w:rPr>
              <w:fldChar w:fldCharType="begin"/>
            </w:r>
            <w:r w:rsidR="00117E2F">
              <w:rPr>
                <w:noProof/>
                <w:webHidden/>
              </w:rPr>
              <w:instrText xml:space="preserve"> PAGEREF _Toc52351568 \h </w:instrText>
            </w:r>
            <w:r w:rsidR="00117E2F">
              <w:rPr>
                <w:noProof/>
                <w:webHidden/>
              </w:rPr>
            </w:r>
            <w:r w:rsidR="00117E2F">
              <w:rPr>
                <w:noProof/>
                <w:webHidden/>
              </w:rPr>
              <w:fldChar w:fldCharType="separate"/>
            </w:r>
            <w:r w:rsidR="00117E2F">
              <w:rPr>
                <w:noProof/>
                <w:webHidden/>
              </w:rPr>
              <w:t>3</w:t>
            </w:r>
            <w:r w:rsidR="00117E2F">
              <w:rPr>
                <w:noProof/>
                <w:webHidden/>
              </w:rPr>
              <w:fldChar w:fldCharType="end"/>
            </w:r>
          </w:hyperlink>
        </w:p>
        <w:p w:rsidR="00117E2F" w:rsidRDefault="00946DDB">
          <w:pPr>
            <w:pStyle w:val="Innehll1"/>
            <w:tabs>
              <w:tab w:val="right" w:leader="dot" w:pos="9062"/>
            </w:tabs>
            <w:rPr>
              <w:rFonts w:eastAsiaTheme="minorEastAsia"/>
              <w:noProof/>
              <w:sz w:val="22"/>
              <w:szCs w:val="22"/>
              <w:lang w:eastAsia="sv-SE"/>
            </w:rPr>
          </w:pPr>
          <w:hyperlink w:anchor="_Toc52351569" w:history="1">
            <w:r w:rsidR="00117E2F" w:rsidRPr="00184B6C">
              <w:rPr>
                <w:rStyle w:val="Hyperlnk"/>
                <w:noProof/>
              </w:rPr>
              <w:t>Metodik</w:t>
            </w:r>
            <w:r w:rsidR="00117E2F">
              <w:rPr>
                <w:noProof/>
                <w:webHidden/>
              </w:rPr>
              <w:tab/>
            </w:r>
            <w:r w:rsidR="00117E2F">
              <w:rPr>
                <w:noProof/>
                <w:webHidden/>
              </w:rPr>
              <w:fldChar w:fldCharType="begin"/>
            </w:r>
            <w:r w:rsidR="00117E2F">
              <w:rPr>
                <w:noProof/>
                <w:webHidden/>
              </w:rPr>
              <w:instrText xml:space="preserve"> PAGEREF _Toc52351569 \h </w:instrText>
            </w:r>
            <w:r w:rsidR="00117E2F">
              <w:rPr>
                <w:noProof/>
                <w:webHidden/>
              </w:rPr>
            </w:r>
            <w:r w:rsidR="00117E2F">
              <w:rPr>
                <w:noProof/>
                <w:webHidden/>
              </w:rPr>
              <w:fldChar w:fldCharType="separate"/>
            </w:r>
            <w:r w:rsidR="00117E2F">
              <w:rPr>
                <w:noProof/>
                <w:webHidden/>
              </w:rPr>
              <w:t>4</w:t>
            </w:r>
            <w:r w:rsidR="00117E2F">
              <w:rPr>
                <w:noProof/>
                <w:webHidden/>
              </w:rPr>
              <w:fldChar w:fldCharType="end"/>
            </w:r>
          </w:hyperlink>
        </w:p>
        <w:p w:rsidR="00117E2F" w:rsidRDefault="00946DDB">
          <w:pPr>
            <w:pStyle w:val="Innehll1"/>
            <w:tabs>
              <w:tab w:val="right" w:leader="dot" w:pos="9062"/>
            </w:tabs>
            <w:rPr>
              <w:rFonts w:eastAsiaTheme="minorEastAsia"/>
              <w:noProof/>
              <w:sz w:val="22"/>
              <w:szCs w:val="22"/>
              <w:lang w:eastAsia="sv-SE"/>
            </w:rPr>
          </w:pPr>
          <w:hyperlink w:anchor="_Toc52351570" w:history="1">
            <w:r w:rsidR="00117E2F" w:rsidRPr="00184B6C">
              <w:rPr>
                <w:rStyle w:val="Hyperlnk"/>
                <w:noProof/>
              </w:rPr>
              <w:t>Resultat KTH</w:t>
            </w:r>
            <w:r w:rsidR="00117E2F">
              <w:rPr>
                <w:noProof/>
                <w:webHidden/>
              </w:rPr>
              <w:tab/>
            </w:r>
            <w:r w:rsidR="00117E2F">
              <w:rPr>
                <w:noProof/>
                <w:webHidden/>
              </w:rPr>
              <w:fldChar w:fldCharType="begin"/>
            </w:r>
            <w:r w:rsidR="00117E2F">
              <w:rPr>
                <w:noProof/>
                <w:webHidden/>
              </w:rPr>
              <w:instrText xml:space="preserve"> PAGEREF _Toc52351570 \h </w:instrText>
            </w:r>
            <w:r w:rsidR="00117E2F">
              <w:rPr>
                <w:noProof/>
                <w:webHidden/>
              </w:rPr>
            </w:r>
            <w:r w:rsidR="00117E2F">
              <w:rPr>
                <w:noProof/>
                <w:webHidden/>
              </w:rPr>
              <w:fldChar w:fldCharType="separate"/>
            </w:r>
            <w:r w:rsidR="00117E2F">
              <w:rPr>
                <w:noProof/>
                <w:webHidden/>
              </w:rPr>
              <w:t>5</w:t>
            </w:r>
            <w:r w:rsidR="00117E2F">
              <w:rPr>
                <w:noProof/>
                <w:webHidden/>
              </w:rPr>
              <w:fldChar w:fldCharType="end"/>
            </w:r>
          </w:hyperlink>
        </w:p>
        <w:p w:rsidR="00117E2F" w:rsidRDefault="00946DDB">
          <w:pPr>
            <w:pStyle w:val="Innehll2"/>
            <w:tabs>
              <w:tab w:val="right" w:leader="dot" w:pos="9062"/>
            </w:tabs>
            <w:rPr>
              <w:rFonts w:eastAsiaTheme="minorEastAsia"/>
              <w:noProof/>
              <w:sz w:val="22"/>
              <w:szCs w:val="22"/>
              <w:lang w:eastAsia="sv-SE"/>
            </w:rPr>
          </w:pPr>
          <w:hyperlink w:anchor="_Toc52351571" w:history="1">
            <w:r w:rsidR="00117E2F" w:rsidRPr="00184B6C">
              <w:rPr>
                <w:rStyle w:val="Hyperlnk"/>
                <w:noProof/>
              </w:rPr>
              <w:t>Förslag till åtgärder uppdelat per SDG där KTH inlämnat material</w:t>
            </w:r>
            <w:r w:rsidR="00117E2F">
              <w:rPr>
                <w:noProof/>
                <w:webHidden/>
              </w:rPr>
              <w:tab/>
            </w:r>
            <w:r w:rsidR="00117E2F">
              <w:rPr>
                <w:noProof/>
                <w:webHidden/>
              </w:rPr>
              <w:fldChar w:fldCharType="begin"/>
            </w:r>
            <w:r w:rsidR="00117E2F">
              <w:rPr>
                <w:noProof/>
                <w:webHidden/>
              </w:rPr>
              <w:instrText xml:space="preserve"> PAGEREF _Toc52351571 \h </w:instrText>
            </w:r>
            <w:r w:rsidR="00117E2F">
              <w:rPr>
                <w:noProof/>
                <w:webHidden/>
              </w:rPr>
            </w:r>
            <w:r w:rsidR="00117E2F">
              <w:rPr>
                <w:noProof/>
                <w:webHidden/>
              </w:rPr>
              <w:fldChar w:fldCharType="separate"/>
            </w:r>
            <w:r w:rsidR="00117E2F">
              <w:rPr>
                <w:noProof/>
                <w:webHidden/>
              </w:rPr>
              <w:t>6</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72" w:history="1">
            <w:r w:rsidR="00117E2F" w:rsidRPr="00184B6C">
              <w:rPr>
                <w:rStyle w:val="Hyperlnk"/>
                <w:noProof/>
              </w:rPr>
              <w:t>SDG4 Quality Education</w:t>
            </w:r>
            <w:r w:rsidR="00117E2F">
              <w:rPr>
                <w:noProof/>
                <w:webHidden/>
              </w:rPr>
              <w:tab/>
            </w:r>
            <w:r w:rsidR="00117E2F">
              <w:rPr>
                <w:noProof/>
                <w:webHidden/>
              </w:rPr>
              <w:fldChar w:fldCharType="begin"/>
            </w:r>
            <w:r w:rsidR="00117E2F">
              <w:rPr>
                <w:noProof/>
                <w:webHidden/>
              </w:rPr>
              <w:instrText xml:space="preserve"> PAGEREF _Toc52351572 \h </w:instrText>
            </w:r>
            <w:r w:rsidR="00117E2F">
              <w:rPr>
                <w:noProof/>
                <w:webHidden/>
              </w:rPr>
            </w:r>
            <w:r w:rsidR="00117E2F">
              <w:rPr>
                <w:noProof/>
                <w:webHidden/>
              </w:rPr>
              <w:fldChar w:fldCharType="separate"/>
            </w:r>
            <w:r w:rsidR="00117E2F">
              <w:rPr>
                <w:noProof/>
                <w:webHidden/>
              </w:rPr>
              <w:t>6</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73" w:history="1">
            <w:r w:rsidR="00117E2F" w:rsidRPr="00184B6C">
              <w:rPr>
                <w:rStyle w:val="Hyperlnk"/>
                <w:noProof/>
              </w:rPr>
              <w:t>SDG 5 Gender Equality</w:t>
            </w:r>
            <w:r w:rsidR="00117E2F">
              <w:rPr>
                <w:noProof/>
                <w:webHidden/>
              </w:rPr>
              <w:tab/>
            </w:r>
            <w:r w:rsidR="00117E2F">
              <w:rPr>
                <w:noProof/>
                <w:webHidden/>
              </w:rPr>
              <w:fldChar w:fldCharType="begin"/>
            </w:r>
            <w:r w:rsidR="00117E2F">
              <w:rPr>
                <w:noProof/>
                <w:webHidden/>
              </w:rPr>
              <w:instrText xml:space="preserve"> PAGEREF _Toc52351573 \h </w:instrText>
            </w:r>
            <w:r w:rsidR="00117E2F">
              <w:rPr>
                <w:noProof/>
                <w:webHidden/>
              </w:rPr>
            </w:r>
            <w:r w:rsidR="00117E2F">
              <w:rPr>
                <w:noProof/>
                <w:webHidden/>
              </w:rPr>
              <w:fldChar w:fldCharType="separate"/>
            </w:r>
            <w:r w:rsidR="00117E2F">
              <w:rPr>
                <w:noProof/>
                <w:webHidden/>
              </w:rPr>
              <w:t>7</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74" w:history="1">
            <w:r w:rsidR="00117E2F" w:rsidRPr="00184B6C">
              <w:rPr>
                <w:rStyle w:val="Hyperlnk"/>
                <w:noProof/>
                <w:lang w:val="en-US"/>
              </w:rPr>
              <w:t>SDG 6 Clean Water and Sanitation</w:t>
            </w:r>
            <w:r w:rsidR="00117E2F">
              <w:rPr>
                <w:noProof/>
                <w:webHidden/>
              </w:rPr>
              <w:tab/>
            </w:r>
            <w:r w:rsidR="00117E2F">
              <w:rPr>
                <w:noProof/>
                <w:webHidden/>
              </w:rPr>
              <w:fldChar w:fldCharType="begin"/>
            </w:r>
            <w:r w:rsidR="00117E2F">
              <w:rPr>
                <w:noProof/>
                <w:webHidden/>
              </w:rPr>
              <w:instrText xml:space="preserve"> PAGEREF _Toc52351574 \h </w:instrText>
            </w:r>
            <w:r w:rsidR="00117E2F">
              <w:rPr>
                <w:noProof/>
                <w:webHidden/>
              </w:rPr>
            </w:r>
            <w:r w:rsidR="00117E2F">
              <w:rPr>
                <w:noProof/>
                <w:webHidden/>
              </w:rPr>
              <w:fldChar w:fldCharType="separate"/>
            </w:r>
            <w:r w:rsidR="00117E2F">
              <w:rPr>
                <w:noProof/>
                <w:webHidden/>
              </w:rPr>
              <w:t>9</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75" w:history="1">
            <w:r w:rsidR="00117E2F" w:rsidRPr="00184B6C">
              <w:rPr>
                <w:rStyle w:val="Hyperlnk"/>
                <w:noProof/>
              </w:rPr>
              <w:t>SDG 7 Affordable and Clean Energy</w:t>
            </w:r>
            <w:r w:rsidR="00117E2F">
              <w:rPr>
                <w:noProof/>
                <w:webHidden/>
              </w:rPr>
              <w:tab/>
            </w:r>
            <w:r w:rsidR="00117E2F">
              <w:rPr>
                <w:noProof/>
                <w:webHidden/>
              </w:rPr>
              <w:fldChar w:fldCharType="begin"/>
            </w:r>
            <w:r w:rsidR="00117E2F">
              <w:rPr>
                <w:noProof/>
                <w:webHidden/>
              </w:rPr>
              <w:instrText xml:space="preserve"> PAGEREF _Toc52351575 \h </w:instrText>
            </w:r>
            <w:r w:rsidR="00117E2F">
              <w:rPr>
                <w:noProof/>
                <w:webHidden/>
              </w:rPr>
            </w:r>
            <w:r w:rsidR="00117E2F">
              <w:rPr>
                <w:noProof/>
                <w:webHidden/>
              </w:rPr>
              <w:fldChar w:fldCharType="separate"/>
            </w:r>
            <w:r w:rsidR="00117E2F">
              <w:rPr>
                <w:noProof/>
                <w:webHidden/>
              </w:rPr>
              <w:t>10</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76" w:history="1">
            <w:r w:rsidR="00117E2F" w:rsidRPr="00184B6C">
              <w:rPr>
                <w:rStyle w:val="Hyperlnk"/>
                <w:noProof/>
                <w:lang w:val="en-US"/>
              </w:rPr>
              <w:t>SDG 8 Decent Work and Economic Growth</w:t>
            </w:r>
            <w:r w:rsidR="00117E2F">
              <w:rPr>
                <w:noProof/>
                <w:webHidden/>
              </w:rPr>
              <w:tab/>
            </w:r>
            <w:r w:rsidR="00117E2F">
              <w:rPr>
                <w:noProof/>
                <w:webHidden/>
              </w:rPr>
              <w:fldChar w:fldCharType="begin"/>
            </w:r>
            <w:r w:rsidR="00117E2F">
              <w:rPr>
                <w:noProof/>
                <w:webHidden/>
              </w:rPr>
              <w:instrText xml:space="preserve"> PAGEREF _Toc52351576 \h </w:instrText>
            </w:r>
            <w:r w:rsidR="00117E2F">
              <w:rPr>
                <w:noProof/>
                <w:webHidden/>
              </w:rPr>
            </w:r>
            <w:r w:rsidR="00117E2F">
              <w:rPr>
                <w:noProof/>
                <w:webHidden/>
              </w:rPr>
              <w:fldChar w:fldCharType="separate"/>
            </w:r>
            <w:r w:rsidR="00117E2F">
              <w:rPr>
                <w:noProof/>
                <w:webHidden/>
              </w:rPr>
              <w:t>11</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77" w:history="1">
            <w:r w:rsidR="00117E2F" w:rsidRPr="00184B6C">
              <w:rPr>
                <w:rStyle w:val="Hyperlnk"/>
                <w:noProof/>
              </w:rPr>
              <w:t>SDG 9 Industry, Innovation and Infrastruc</w:t>
            </w:r>
            <w:r w:rsidR="00117E2F" w:rsidRPr="00184B6C">
              <w:rPr>
                <w:rStyle w:val="Hyperlnk"/>
                <w:noProof/>
                <w:lang w:val="en-US"/>
              </w:rPr>
              <w:t>ture</w:t>
            </w:r>
            <w:r w:rsidR="00117E2F">
              <w:rPr>
                <w:noProof/>
                <w:webHidden/>
              </w:rPr>
              <w:tab/>
            </w:r>
            <w:r w:rsidR="00117E2F">
              <w:rPr>
                <w:noProof/>
                <w:webHidden/>
              </w:rPr>
              <w:fldChar w:fldCharType="begin"/>
            </w:r>
            <w:r w:rsidR="00117E2F">
              <w:rPr>
                <w:noProof/>
                <w:webHidden/>
              </w:rPr>
              <w:instrText xml:space="preserve"> PAGEREF _Toc52351577 \h </w:instrText>
            </w:r>
            <w:r w:rsidR="00117E2F">
              <w:rPr>
                <w:noProof/>
                <w:webHidden/>
              </w:rPr>
            </w:r>
            <w:r w:rsidR="00117E2F">
              <w:rPr>
                <w:noProof/>
                <w:webHidden/>
              </w:rPr>
              <w:fldChar w:fldCharType="separate"/>
            </w:r>
            <w:r w:rsidR="00117E2F">
              <w:rPr>
                <w:noProof/>
                <w:webHidden/>
              </w:rPr>
              <w:t>13</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78" w:history="1">
            <w:r w:rsidR="00117E2F" w:rsidRPr="00184B6C">
              <w:rPr>
                <w:rStyle w:val="Hyperlnk"/>
                <w:noProof/>
              </w:rPr>
              <w:t>SDG 10 Reduced Inequalities</w:t>
            </w:r>
            <w:r w:rsidR="00117E2F">
              <w:rPr>
                <w:noProof/>
                <w:webHidden/>
              </w:rPr>
              <w:tab/>
            </w:r>
            <w:r w:rsidR="00117E2F">
              <w:rPr>
                <w:noProof/>
                <w:webHidden/>
              </w:rPr>
              <w:fldChar w:fldCharType="begin"/>
            </w:r>
            <w:r w:rsidR="00117E2F">
              <w:rPr>
                <w:noProof/>
                <w:webHidden/>
              </w:rPr>
              <w:instrText xml:space="preserve"> PAGEREF _Toc52351578 \h </w:instrText>
            </w:r>
            <w:r w:rsidR="00117E2F">
              <w:rPr>
                <w:noProof/>
                <w:webHidden/>
              </w:rPr>
            </w:r>
            <w:r w:rsidR="00117E2F">
              <w:rPr>
                <w:noProof/>
                <w:webHidden/>
              </w:rPr>
              <w:fldChar w:fldCharType="separate"/>
            </w:r>
            <w:r w:rsidR="00117E2F">
              <w:rPr>
                <w:noProof/>
                <w:webHidden/>
              </w:rPr>
              <w:t>13</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79" w:history="1">
            <w:r w:rsidR="00117E2F" w:rsidRPr="00184B6C">
              <w:rPr>
                <w:rStyle w:val="Hyperlnk"/>
                <w:noProof/>
                <w:lang w:val="en-US"/>
              </w:rPr>
              <w:t>SDG 11 Sustainable Cities and Communities</w:t>
            </w:r>
            <w:r w:rsidR="00117E2F">
              <w:rPr>
                <w:noProof/>
                <w:webHidden/>
              </w:rPr>
              <w:tab/>
            </w:r>
            <w:r w:rsidR="00117E2F">
              <w:rPr>
                <w:noProof/>
                <w:webHidden/>
              </w:rPr>
              <w:fldChar w:fldCharType="begin"/>
            </w:r>
            <w:r w:rsidR="00117E2F">
              <w:rPr>
                <w:noProof/>
                <w:webHidden/>
              </w:rPr>
              <w:instrText xml:space="preserve"> PAGEREF _Toc52351579 \h </w:instrText>
            </w:r>
            <w:r w:rsidR="00117E2F">
              <w:rPr>
                <w:noProof/>
                <w:webHidden/>
              </w:rPr>
            </w:r>
            <w:r w:rsidR="00117E2F">
              <w:rPr>
                <w:noProof/>
                <w:webHidden/>
              </w:rPr>
              <w:fldChar w:fldCharType="separate"/>
            </w:r>
            <w:r w:rsidR="00117E2F">
              <w:rPr>
                <w:noProof/>
                <w:webHidden/>
              </w:rPr>
              <w:t>15</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80" w:history="1">
            <w:r w:rsidR="00117E2F" w:rsidRPr="00184B6C">
              <w:rPr>
                <w:rStyle w:val="Hyperlnk"/>
                <w:noProof/>
                <w:lang w:val="en-US"/>
              </w:rPr>
              <w:t>SDG 12 Responsible Consumption and Production</w:t>
            </w:r>
            <w:r w:rsidR="00117E2F">
              <w:rPr>
                <w:noProof/>
                <w:webHidden/>
              </w:rPr>
              <w:tab/>
            </w:r>
            <w:r w:rsidR="00117E2F">
              <w:rPr>
                <w:noProof/>
                <w:webHidden/>
              </w:rPr>
              <w:fldChar w:fldCharType="begin"/>
            </w:r>
            <w:r w:rsidR="00117E2F">
              <w:rPr>
                <w:noProof/>
                <w:webHidden/>
              </w:rPr>
              <w:instrText xml:space="preserve"> PAGEREF _Toc52351580 \h </w:instrText>
            </w:r>
            <w:r w:rsidR="00117E2F">
              <w:rPr>
                <w:noProof/>
                <w:webHidden/>
              </w:rPr>
            </w:r>
            <w:r w:rsidR="00117E2F">
              <w:rPr>
                <w:noProof/>
                <w:webHidden/>
              </w:rPr>
              <w:fldChar w:fldCharType="separate"/>
            </w:r>
            <w:r w:rsidR="00117E2F">
              <w:rPr>
                <w:noProof/>
                <w:webHidden/>
              </w:rPr>
              <w:t>16</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81" w:history="1">
            <w:r w:rsidR="00117E2F" w:rsidRPr="00184B6C">
              <w:rPr>
                <w:rStyle w:val="Hyperlnk"/>
                <w:noProof/>
              </w:rPr>
              <w:t>SDG 13 Climate Action</w:t>
            </w:r>
            <w:r w:rsidR="00117E2F">
              <w:rPr>
                <w:noProof/>
                <w:webHidden/>
              </w:rPr>
              <w:tab/>
            </w:r>
            <w:r w:rsidR="00117E2F">
              <w:rPr>
                <w:noProof/>
                <w:webHidden/>
              </w:rPr>
              <w:fldChar w:fldCharType="begin"/>
            </w:r>
            <w:r w:rsidR="00117E2F">
              <w:rPr>
                <w:noProof/>
                <w:webHidden/>
              </w:rPr>
              <w:instrText xml:space="preserve"> PAGEREF _Toc52351581 \h </w:instrText>
            </w:r>
            <w:r w:rsidR="00117E2F">
              <w:rPr>
                <w:noProof/>
                <w:webHidden/>
              </w:rPr>
            </w:r>
            <w:r w:rsidR="00117E2F">
              <w:rPr>
                <w:noProof/>
                <w:webHidden/>
              </w:rPr>
              <w:fldChar w:fldCharType="separate"/>
            </w:r>
            <w:r w:rsidR="00117E2F">
              <w:rPr>
                <w:noProof/>
                <w:webHidden/>
              </w:rPr>
              <w:t>18</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82" w:history="1">
            <w:r w:rsidR="00117E2F" w:rsidRPr="00184B6C">
              <w:rPr>
                <w:rStyle w:val="Hyperlnk"/>
                <w:noProof/>
              </w:rPr>
              <w:t>SDG 15 Life on Land</w:t>
            </w:r>
            <w:r w:rsidR="00117E2F">
              <w:rPr>
                <w:noProof/>
                <w:webHidden/>
              </w:rPr>
              <w:tab/>
            </w:r>
            <w:r w:rsidR="00117E2F">
              <w:rPr>
                <w:noProof/>
                <w:webHidden/>
              </w:rPr>
              <w:fldChar w:fldCharType="begin"/>
            </w:r>
            <w:r w:rsidR="00117E2F">
              <w:rPr>
                <w:noProof/>
                <w:webHidden/>
              </w:rPr>
              <w:instrText xml:space="preserve"> PAGEREF _Toc52351582 \h </w:instrText>
            </w:r>
            <w:r w:rsidR="00117E2F">
              <w:rPr>
                <w:noProof/>
                <w:webHidden/>
              </w:rPr>
            </w:r>
            <w:r w:rsidR="00117E2F">
              <w:rPr>
                <w:noProof/>
                <w:webHidden/>
              </w:rPr>
              <w:fldChar w:fldCharType="separate"/>
            </w:r>
            <w:r w:rsidR="00117E2F">
              <w:rPr>
                <w:noProof/>
                <w:webHidden/>
              </w:rPr>
              <w:t>19</w:t>
            </w:r>
            <w:r w:rsidR="00117E2F">
              <w:rPr>
                <w:noProof/>
                <w:webHidden/>
              </w:rPr>
              <w:fldChar w:fldCharType="end"/>
            </w:r>
          </w:hyperlink>
        </w:p>
        <w:p w:rsidR="00117E2F" w:rsidRDefault="00946DDB">
          <w:pPr>
            <w:pStyle w:val="Innehll3"/>
            <w:tabs>
              <w:tab w:val="right" w:leader="dot" w:pos="9062"/>
            </w:tabs>
            <w:rPr>
              <w:rFonts w:eastAsiaTheme="minorEastAsia"/>
              <w:noProof/>
              <w:sz w:val="22"/>
              <w:szCs w:val="22"/>
              <w:lang w:eastAsia="sv-SE"/>
            </w:rPr>
          </w:pPr>
          <w:hyperlink w:anchor="_Toc52351583" w:history="1">
            <w:r w:rsidR="00117E2F" w:rsidRPr="00184B6C">
              <w:rPr>
                <w:rStyle w:val="Hyperlnk"/>
                <w:noProof/>
              </w:rPr>
              <w:t>SDG 17 Partnership for the Goals</w:t>
            </w:r>
            <w:r w:rsidR="00117E2F">
              <w:rPr>
                <w:noProof/>
                <w:webHidden/>
              </w:rPr>
              <w:tab/>
            </w:r>
            <w:r w:rsidR="00117E2F">
              <w:rPr>
                <w:noProof/>
                <w:webHidden/>
              </w:rPr>
              <w:fldChar w:fldCharType="begin"/>
            </w:r>
            <w:r w:rsidR="00117E2F">
              <w:rPr>
                <w:noProof/>
                <w:webHidden/>
              </w:rPr>
              <w:instrText xml:space="preserve"> PAGEREF _Toc52351583 \h </w:instrText>
            </w:r>
            <w:r w:rsidR="00117E2F">
              <w:rPr>
                <w:noProof/>
                <w:webHidden/>
              </w:rPr>
            </w:r>
            <w:r w:rsidR="00117E2F">
              <w:rPr>
                <w:noProof/>
                <w:webHidden/>
              </w:rPr>
              <w:fldChar w:fldCharType="separate"/>
            </w:r>
            <w:r w:rsidR="00117E2F">
              <w:rPr>
                <w:noProof/>
                <w:webHidden/>
              </w:rPr>
              <w:t>20</w:t>
            </w:r>
            <w:r w:rsidR="00117E2F">
              <w:rPr>
                <w:noProof/>
                <w:webHidden/>
              </w:rPr>
              <w:fldChar w:fldCharType="end"/>
            </w:r>
          </w:hyperlink>
        </w:p>
        <w:p w:rsidR="00117E2F" w:rsidRDefault="00946DDB">
          <w:pPr>
            <w:pStyle w:val="Innehll2"/>
            <w:tabs>
              <w:tab w:val="right" w:leader="dot" w:pos="9062"/>
            </w:tabs>
            <w:rPr>
              <w:rFonts w:eastAsiaTheme="minorEastAsia"/>
              <w:noProof/>
              <w:sz w:val="22"/>
              <w:szCs w:val="22"/>
              <w:lang w:eastAsia="sv-SE"/>
            </w:rPr>
          </w:pPr>
          <w:hyperlink w:anchor="_Toc52351584" w:history="1">
            <w:r w:rsidR="00117E2F" w:rsidRPr="00184B6C">
              <w:rPr>
                <w:rStyle w:val="Hyperlnk"/>
                <w:noProof/>
              </w:rPr>
              <w:t>Avslutning</w:t>
            </w:r>
            <w:r w:rsidR="00117E2F">
              <w:rPr>
                <w:noProof/>
                <w:webHidden/>
              </w:rPr>
              <w:tab/>
            </w:r>
            <w:r w:rsidR="00117E2F">
              <w:rPr>
                <w:noProof/>
                <w:webHidden/>
              </w:rPr>
              <w:fldChar w:fldCharType="begin"/>
            </w:r>
            <w:r w:rsidR="00117E2F">
              <w:rPr>
                <w:noProof/>
                <w:webHidden/>
              </w:rPr>
              <w:instrText xml:space="preserve"> PAGEREF _Toc52351584 \h </w:instrText>
            </w:r>
            <w:r w:rsidR="00117E2F">
              <w:rPr>
                <w:noProof/>
                <w:webHidden/>
              </w:rPr>
            </w:r>
            <w:r w:rsidR="00117E2F">
              <w:rPr>
                <w:noProof/>
                <w:webHidden/>
              </w:rPr>
              <w:fldChar w:fldCharType="separate"/>
            </w:r>
            <w:r w:rsidR="00117E2F">
              <w:rPr>
                <w:noProof/>
                <w:webHidden/>
              </w:rPr>
              <w:t>21</w:t>
            </w:r>
            <w:r w:rsidR="00117E2F">
              <w:rPr>
                <w:noProof/>
                <w:webHidden/>
              </w:rPr>
              <w:fldChar w:fldCharType="end"/>
            </w:r>
          </w:hyperlink>
        </w:p>
        <w:p w:rsidR="002C0341" w:rsidRDefault="002C0341">
          <w:r>
            <w:rPr>
              <w:b/>
              <w:bCs/>
            </w:rPr>
            <w:fldChar w:fldCharType="end"/>
          </w:r>
        </w:p>
      </w:sdtContent>
    </w:sdt>
    <w:p w:rsidR="002C0341" w:rsidRDefault="002C0341">
      <w:pPr>
        <w:rPr>
          <w:sz w:val="22"/>
          <w:lang w:val="en-US"/>
        </w:rPr>
      </w:pPr>
      <w:r>
        <w:rPr>
          <w:lang w:val="en-US"/>
        </w:rPr>
        <w:br w:type="page"/>
      </w:r>
    </w:p>
    <w:p w:rsidR="00810287" w:rsidRPr="0054324A" w:rsidRDefault="00810287" w:rsidP="00810287">
      <w:pPr>
        <w:pStyle w:val="Rubrik1"/>
      </w:pPr>
      <w:bookmarkStart w:id="0" w:name="_Toc52351568"/>
      <w:r w:rsidRPr="0054324A">
        <w:lastRenderedPageBreak/>
        <w:t>Inledning</w:t>
      </w:r>
      <w:bookmarkEnd w:id="0"/>
    </w:p>
    <w:p w:rsidR="00DB5345" w:rsidRPr="00BD3C5D" w:rsidRDefault="00732DE1" w:rsidP="00BD3C5D">
      <w:pPr>
        <w:pStyle w:val="Brdtext"/>
      </w:pPr>
      <w:r>
        <w:t>THE Impact R</w:t>
      </w:r>
      <w:r w:rsidR="00DB5345">
        <w:t xml:space="preserve">ankings riktas </w:t>
      </w:r>
      <w:r w:rsidR="00601510">
        <w:t>mot</w:t>
      </w:r>
      <w:r w:rsidR="00DB5345">
        <w:t xml:space="preserve"> de hållbarhetsmål som FN uppsatt. För att delta i </w:t>
      </w:r>
      <w:r w:rsidR="004A46C8">
        <w:t xml:space="preserve">den totala </w:t>
      </w:r>
      <w:r w:rsidR="00DB5345">
        <w:t xml:space="preserve">rankningen </w:t>
      </w:r>
      <w:r w:rsidR="00601510">
        <w:t>krävs att</w:t>
      </w:r>
      <w:r w:rsidR="00DB5345">
        <w:t xml:space="preserve"> respektive universitet rapportera</w:t>
      </w:r>
      <w:r w:rsidR="00601510">
        <w:t>r</w:t>
      </w:r>
      <w:r w:rsidR="00DB5345">
        <w:t xml:space="preserve"> in data för SDG 17 </w:t>
      </w:r>
      <w:r w:rsidR="00BB0388" w:rsidRPr="00BB0388">
        <w:t xml:space="preserve">Partnership for the </w:t>
      </w:r>
      <w:proofErr w:type="spellStart"/>
      <w:r w:rsidR="00BB0388" w:rsidRPr="00BB0388">
        <w:t>Goals</w:t>
      </w:r>
      <w:proofErr w:type="spellEnd"/>
      <w:r w:rsidR="00BB0388">
        <w:t xml:space="preserve"> </w:t>
      </w:r>
      <w:r w:rsidR="00DB5345">
        <w:t xml:space="preserve">samt ytterligare </w:t>
      </w:r>
      <w:r w:rsidR="00FF06D6">
        <w:t xml:space="preserve">tre </w:t>
      </w:r>
      <w:proofErr w:type="spellStart"/>
      <w:r w:rsidR="00DB5345">
        <w:t>SDG</w:t>
      </w:r>
      <w:r w:rsidR="000A6EC3">
        <w:t>:er</w:t>
      </w:r>
      <w:proofErr w:type="spellEnd"/>
      <w:r w:rsidR="00601510">
        <w:t xml:space="preserve">. Lärosätet måste också </w:t>
      </w:r>
      <w:r w:rsidR="00376986">
        <w:t>bedriva undervisning på kandidatnivå och vara ackreditera</w:t>
      </w:r>
      <w:r w:rsidR="00601510">
        <w:t>t</w:t>
      </w:r>
      <w:r w:rsidR="00DB5345">
        <w:t xml:space="preserve">. </w:t>
      </w:r>
      <w:r w:rsidR="00BD134C">
        <w:t>I jämförelse med de flesta andra rankningar är det</w:t>
      </w:r>
      <w:r w:rsidR="00DB5345">
        <w:t xml:space="preserve"> ett omfattande arbete med att </w:t>
      </w:r>
      <w:r w:rsidR="00BB0388">
        <w:t xml:space="preserve">ta fram och </w:t>
      </w:r>
      <w:r w:rsidR="00DB5345">
        <w:t>rapportera in data</w:t>
      </w:r>
      <w:r w:rsidR="00810287">
        <w:t>, vilket haft en avskräckande inverka</w:t>
      </w:r>
      <w:r w:rsidR="002D4345">
        <w:t>n</w:t>
      </w:r>
      <w:r w:rsidR="00810287">
        <w:t xml:space="preserve"> på flera universitet</w:t>
      </w:r>
      <w:r w:rsidR="00BD134C">
        <w:t xml:space="preserve">, samt att det </w:t>
      </w:r>
      <w:r w:rsidR="00BC0F10">
        <w:t xml:space="preserve">initialt </w:t>
      </w:r>
      <w:r w:rsidR="002D4345">
        <w:t xml:space="preserve">var </w:t>
      </w:r>
      <w:r w:rsidR="00BD134C">
        <w:t xml:space="preserve">oklart </w:t>
      </w:r>
      <w:r w:rsidR="002D4345">
        <w:t>om</w:t>
      </w:r>
      <w:r w:rsidR="00BD134C">
        <w:t xml:space="preserve"> rankningen skulle vara framgångsrik eller ej (Det finns fler </w:t>
      </w:r>
      <w:proofErr w:type="spellStart"/>
      <w:r w:rsidR="00BD134C">
        <w:t>rank</w:t>
      </w:r>
      <w:r w:rsidR="008F2066">
        <w:t>n</w:t>
      </w:r>
      <w:r w:rsidR="00BD134C">
        <w:t>inginitiativ</w:t>
      </w:r>
      <w:proofErr w:type="spellEnd"/>
      <w:r w:rsidR="00BD134C">
        <w:t xml:space="preserve"> bland annat från THE som misslyckats såsom THE Innovation Ranking och THE </w:t>
      </w:r>
      <w:proofErr w:type="spellStart"/>
      <w:r w:rsidR="00BD134C">
        <w:t>European</w:t>
      </w:r>
      <w:proofErr w:type="spellEnd"/>
      <w:r w:rsidR="00BD134C">
        <w:t xml:space="preserve"> </w:t>
      </w:r>
      <w:proofErr w:type="spellStart"/>
      <w:r w:rsidR="00BD134C">
        <w:t>Teaching</w:t>
      </w:r>
      <w:proofErr w:type="spellEnd"/>
      <w:r w:rsidR="00BD134C">
        <w:t xml:space="preserve"> Ranking)</w:t>
      </w:r>
      <w:r w:rsidR="00DB5345">
        <w:t xml:space="preserve">. </w:t>
      </w:r>
      <w:r w:rsidR="002D4345">
        <w:t>Noterbart är att det</w:t>
      </w:r>
      <w:r w:rsidR="00310810">
        <w:t xml:space="preserve"> finns en tydlig diskrepans mellan FN:s hållbarhetsmål såsom de definieras av FN och som de uttolkas av THE. Det är sålunda tveksamt om rankningen verkligen mäter det den säger sig mäta.</w:t>
      </w:r>
      <w:r w:rsidR="000B05ED">
        <w:t xml:space="preserve"> </w:t>
      </w:r>
    </w:p>
    <w:p w:rsidR="00596887" w:rsidRDefault="00310810" w:rsidP="00435F5F">
      <w:pPr>
        <w:pStyle w:val="Brdtext"/>
      </w:pPr>
      <w:r>
        <w:t>Sammantaget</w:t>
      </w:r>
      <w:r w:rsidR="00435F5F">
        <w:t xml:space="preserve"> 859 institutioner lämnade in data</w:t>
      </w:r>
      <w:r w:rsidR="00601510">
        <w:t xml:space="preserve"> för 2020 år</w:t>
      </w:r>
      <w:r w:rsidR="00BB0388">
        <w:t>s</w:t>
      </w:r>
      <w:r w:rsidR="00601510">
        <w:t xml:space="preserve"> upplaga av rankningen</w:t>
      </w:r>
      <w:r w:rsidR="00810287">
        <w:t>. N</w:t>
      </w:r>
      <w:r w:rsidR="008B15A5">
        <w:t xml:space="preserve">ågra universitet har </w:t>
      </w:r>
      <w:r w:rsidR="00C962DA">
        <w:t>endast</w:t>
      </w:r>
      <w:r w:rsidR="008B15A5">
        <w:t xml:space="preserve"> lämnat in data </w:t>
      </w:r>
      <w:r w:rsidR="00FF06D6">
        <w:t>för</w:t>
      </w:r>
      <w:r w:rsidR="008B15A5">
        <w:t xml:space="preserve"> enstaka </w:t>
      </w:r>
      <w:proofErr w:type="spellStart"/>
      <w:r w:rsidR="008B15A5">
        <w:t>SDG:er</w:t>
      </w:r>
      <w:proofErr w:type="spellEnd"/>
      <w:r w:rsidR="00FF06D6">
        <w:t xml:space="preserve"> och därmed inte deltagit i den totala rankningen</w:t>
      </w:r>
      <w:r w:rsidR="008B15A5">
        <w:t xml:space="preserve">. </w:t>
      </w:r>
      <w:r w:rsidR="004A46C8">
        <w:t>Sammantaget</w:t>
      </w:r>
      <w:r w:rsidR="008B15A5">
        <w:t xml:space="preserve"> rankades</w:t>
      </w:r>
      <w:r w:rsidR="00435F5F">
        <w:t xml:space="preserve"> 766 lärosäten i den </w:t>
      </w:r>
      <w:r w:rsidR="006D73CD">
        <w:t>totala</w:t>
      </w:r>
      <w:r w:rsidR="00435F5F">
        <w:t xml:space="preserve"> rankningen</w:t>
      </w:r>
      <w:r w:rsidR="008B15A5">
        <w:t xml:space="preserve"> och har </w:t>
      </w:r>
      <w:r w:rsidR="00FF06D6">
        <w:t>sålunda</w:t>
      </w:r>
      <w:r w:rsidR="008B15A5">
        <w:t xml:space="preserve"> lämnat in underlag för minst fyra </w:t>
      </w:r>
      <w:proofErr w:type="spellStart"/>
      <w:r w:rsidR="008B15A5">
        <w:t>SDG:er</w:t>
      </w:r>
      <w:proofErr w:type="spellEnd"/>
      <w:r w:rsidR="00435F5F">
        <w:t xml:space="preserve">. Detta är </w:t>
      </w:r>
      <w:r w:rsidR="00BA1122">
        <w:t>297</w:t>
      </w:r>
      <w:r w:rsidR="00435F5F">
        <w:t xml:space="preserve"> lärosäte</w:t>
      </w:r>
      <w:r w:rsidR="00E8018D">
        <w:t>n fler</w:t>
      </w:r>
      <w:r w:rsidR="00435F5F">
        <w:t xml:space="preserve"> jämfört med </w:t>
      </w:r>
      <w:r w:rsidR="006D73CD">
        <w:t xml:space="preserve">den totala </w:t>
      </w:r>
      <w:r w:rsidR="00435F5F">
        <w:t>rankningen som gavs 2019</w:t>
      </w:r>
      <w:r w:rsidR="00E8018D">
        <w:t xml:space="preserve">, då </w:t>
      </w:r>
      <w:r w:rsidR="00BA1122">
        <w:t>469</w:t>
      </w:r>
      <w:r w:rsidR="00E8018D">
        <w:t xml:space="preserve"> </w:t>
      </w:r>
      <w:r w:rsidR="008B15A5">
        <w:t>lärosäten</w:t>
      </w:r>
      <w:r w:rsidR="00E8018D">
        <w:t xml:space="preserve"> deltog. </w:t>
      </w:r>
    </w:p>
    <w:p w:rsidR="007F2A47" w:rsidRDefault="008F4D2E" w:rsidP="00435F5F">
      <w:pPr>
        <w:pStyle w:val="Brdtext"/>
      </w:pPr>
      <w:r>
        <w:t>S</w:t>
      </w:r>
      <w:r w:rsidR="00BB0388">
        <w:t xml:space="preserve">killnaden sett till </w:t>
      </w:r>
      <w:r w:rsidR="00FF06D6">
        <w:t xml:space="preserve">antal </w:t>
      </w:r>
      <w:r w:rsidR="00BB0388">
        <w:t xml:space="preserve">deltagande lärosäten </w:t>
      </w:r>
      <w:r w:rsidR="008B15A5">
        <w:t xml:space="preserve">har medfört </w:t>
      </w:r>
      <w:r w:rsidR="00A75F19">
        <w:t xml:space="preserve">att </w:t>
      </w:r>
      <w:r w:rsidR="00C34530">
        <w:t xml:space="preserve">det </w:t>
      </w:r>
      <w:r w:rsidR="008B15A5">
        <w:t>blivit</w:t>
      </w:r>
      <w:r w:rsidR="00C34530">
        <w:t xml:space="preserve"> stora förändringar sett till resultat samt</w:t>
      </w:r>
      <w:r w:rsidR="00B94A38">
        <w:t xml:space="preserve"> att</w:t>
      </w:r>
      <w:r w:rsidR="00C34530">
        <w:t xml:space="preserve"> </w:t>
      </w:r>
      <w:r w:rsidR="00A75F19">
        <w:t xml:space="preserve">man får vara försiktig när man jämför årets </w:t>
      </w:r>
      <w:r w:rsidR="00C72374">
        <w:t>utfall</w:t>
      </w:r>
      <w:r w:rsidR="00A75F19">
        <w:t xml:space="preserve"> med de poäng som utdelades för </w:t>
      </w:r>
      <w:r w:rsidR="00601510">
        <w:t>2019</w:t>
      </w:r>
      <w:r w:rsidR="00A75F19">
        <w:t xml:space="preserve">, då </w:t>
      </w:r>
      <w:r w:rsidR="00585D6D">
        <w:t>resultatet</w:t>
      </w:r>
      <w:r w:rsidR="00A75F19">
        <w:t xml:space="preserve"> baseras på olika databaser både sett till </w:t>
      </w:r>
      <w:r w:rsidR="00A403C5">
        <w:t xml:space="preserve">representerade </w:t>
      </w:r>
      <w:r w:rsidR="00A75F19">
        <w:t xml:space="preserve">universitet och omfång. </w:t>
      </w:r>
      <w:r w:rsidR="008B15A5">
        <w:t xml:space="preserve">En annan förändring är att THE inkluderat de sex </w:t>
      </w:r>
      <w:proofErr w:type="spellStart"/>
      <w:r w:rsidR="008B15A5">
        <w:t>SDG:</w:t>
      </w:r>
      <w:r w:rsidR="004A024D">
        <w:t>e</w:t>
      </w:r>
      <w:r w:rsidR="008B15A5">
        <w:t>r</w:t>
      </w:r>
      <w:proofErr w:type="spellEnd"/>
      <w:r w:rsidR="008B15A5">
        <w:t xml:space="preserve"> som inte var </w:t>
      </w:r>
      <w:r w:rsidR="000A6BBE">
        <w:t>inräknade</w:t>
      </w:r>
      <w:r w:rsidR="008B15A5">
        <w:t xml:space="preserve"> 2019, vilket bidragit till skiftningar sett till resultat. </w:t>
      </w:r>
      <w:r w:rsidR="004974B8">
        <w:t xml:space="preserve">Vissa metodiska justeringar avseende indikatorer och viktning </w:t>
      </w:r>
      <w:r w:rsidR="000A6EC3">
        <w:t>har</w:t>
      </w:r>
      <w:r w:rsidR="004974B8">
        <w:t xml:space="preserve"> också </w:t>
      </w:r>
      <w:r w:rsidR="00BD134C">
        <w:t>verkställts</w:t>
      </w:r>
      <w:r w:rsidR="004974B8">
        <w:t>.</w:t>
      </w:r>
      <w:r w:rsidR="000A6EC3">
        <w:t xml:space="preserve"> </w:t>
      </w:r>
      <w:r w:rsidR="00596887">
        <w:t xml:space="preserve">Det är också mycket jämnt sett till resultat både för rankningen som </w:t>
      </w:r>
      <w:r>
        <w:t>helhet och för respektive SDG. D</w:t>
      </w:r>
      <w:r w:rsidR="00596887">
        <w:t>ecimaler har</w:t>
      </w:r>
      <w:r w:rsidR="008B15A5">
        <w:t xml:space="preserve"> betydelse </w:t>
      </w:r>
      <w:r w:rsidR="00596887">
        <w:t>redan bland topp tio. Detta medför att skillnaden mellan universiteten i realiteten är mindre än om man rankar dem enligt en ligatabell från placering 1 till 7</w:t>
      </w:r>
      <w:r w:rsidR="00585D6D">
        <w:t>66</w:t>
      </w:r>
      <w:r w:rsidR="00596887">
        <w:t xml:space="preserve">. </w:t>
      </w:r>
    </w:p>
    <w:p w:rsidR="00E8018D" w:rsidRDefault="002D1A8E" w:rsidP="00435F5F">
      <w:pPr>
        <w:pStyle w:val="Brdtext"/>
      </w:pPr>
      <w:r>
        <w:t>I denna upplaga</w:t>
      </w:r>
      <w:r w:rsidR="00BB0388">
        <w:t xml:space="preserve"> av rankningen har några namnkunniga universitet som MIT, École Polytechnique </w:t>
      </w:r>
      <w:r w:rsidR="00C34530">
        <w:t>och</w:t>
      </w:r>
      <w:r w:rsidR="00C72374">
        <w:t xml:space="preserve"> TU</w:t>
      </w:r>
      <w:r w:rsidR="00C34530">
        <w:t xml:space="preserve"> Delft rapporterat</w:t>
      </w:r>
      <w:r w:rsidR="00E8018D">
        <w:t xml:space="preserve"> in data. De</w:t>
      </w:r>
      <w:r w:rsidR="00C34530">
        <w:t>ssa</w:t>
      </w:r>
      <w:r w:rsidR="00E8018D">
        <w:t xml:space="preserve"> har varit framgångsrika </w:t>
      </w:r>
      <w:r w:rsidR="006D73CD">
        <w:t xml:space="preserve">inom några </w:t>
      </w:r>
      <w:r>
        <w:t xml:space="preserve">enskilda </w:t>
      </w:r>
      <w:proofErr w:type="spellStart"/>
      <w:r w:rsidR="00E8018D">
        <w:t>SDG</w:t>
      </w:r>
      <w:r>
        <w:t>:er</w:t>
      </w:r>
      <w:proofErr w:type="spellEnd"/>
      <w:r w:rsidR="00E8018D">
        <w:t xml:space="preserve"> såsom SDG 9</w:t>
      </w:r>
      <w:r w:rsidR="00A75F19">
        <w:t xml:space="preserve"> </w:t>
      </w:r>
      <w:r w:rsidR="00A75F19" w:rsidRPr="00A75F19">
        <w:t xml:space="preserve">Industry, Innovation and </w:t>
      </w:r>
      <w:proofErr w:type="spellStart"/>
      <w:r w:rsidR="00A75F19" w:rsidRPr="00A75F19">
        <w:t>Infrastructure</w:t>
      </w:r>
      <w:proofErr w:type="spellEnd"/>
      <w:r w:rsidR="00E8018D">
        <w:t>, men de har</w:t>
      </w:r>
      <w:r w:rsidR="00A403C5">
        <w:t xml:space="preserve"> </w:t>
      </w:r>
      <w:r w:rsidR="00E8018D">
        <w:t xml:space="preserve">inte </w:t>
      </w:r>
      <w:r w:rsidR="00C34530">
        <w:t>hävdat sig</w:t>
      </w:r>
      <w:r w:rsidR="00E8018D">
        <w:t xml:space="preserve"> i den totala rankningen. </w:t>
      </w:r>
    </w:p>
    <w:p w:rsidR="00E8018D" w:rsidRDefault="00E8018D" w:rsidP="00435F5F">
      <w:pPr>
        <w:pStyle w:val="Brdtext"/>
      </w:pPr>
      <w:r>
        <w:t>Rankningen domineras av universitet från det brittiska samväldet plus Irland</w:t>
      </w:r>
      <w:r w:rsidR="002D1A8E">
        <w:t>:</w:t>
      </w:r>
      <w:r>
        <w:t xml:space="preserve"> hela 58 av de högst rankande kommer från Storbritannien, Australien, Canada, Nya Zealand och Irland. </w:t>
      </w:r>
    </w:p>
    <w:p w:rsidR="00E8018D" w:rsidRDefault="00E8018D" w:rsidP="00435F5F">
      <w:pPr>
        <w:pStyle w:val="Brdtext"/>
      </w:pPr>
      <w:r>
        <w:t xml:space="preserve">Sett till topp 100 </w:t>
      </w:r>
      <w:r w:rsidR="00BB0388">
        <w:t>representeras</w:t>
      </w:r>
      <w:r w:rsidR="008B15A5">
        <w:t xml:space="preserve"> Storbritannien</w:t>
      </w:r>
      <w:r w:rsidR="00BB0388">
        <w:t xml:space="preserve"> av</w:t>
      </w:r>
      <w:r>
        <w:t xml:space="preserve"> 20</w:t>
      </w:r>
      <w:r w:rsidR="00BB0388">
        <w:t xml:space="preserve"> lärosäten</w:t>
      </w:r>
      <w:r>
        <w:t xml:space="preserve">, Australien 16, Canada 13, Nya Zealand 5, Irland 5, Spanien 4, Indonesien 3, Japan 3, Ryssland 3, USA 3, Brasilien 2, Finland 2, Frankrike 2, Italien 2, Malaysia 2, Sverige 2, Sydkorea </w:t>
      </w:r>
      <w:r w:rsidR="000A6BBE">
        <w:t>2, Taiwan 2, Danmark 1, Iran 1,</w:t>
      </w:r>
      <w:r>
        <w:t xml:space="preserve"> Kina 1, México</w:t>
      </w:r>
      <w:r w:rsidR="00C962DA">
        <w:t xml:space="preserve"> 1</w:t>
      </w:r>
      <w:r>
        <w:t xml:space="preserve">, Nederländerna 1, Norge </w:t>
      </w:r>
      <w:r w:rsidR="002D1A8E">
        <w:t>1</w:t>
      </w:r>
      <w:r>
        <w:t>, Portugal 1</w:t>
      </w:r>
      <w:r w:rsidR="002D1A8E">
        <w:t xml:space="preserve"> och </w:t>
      </w:r>
      <w:r>
        <w:t>Syda</w:t>
      </w:r>
      <w:r w:rsidR="002D1A8E">
        <w:t>frika 1.</w:t>
      </w:r>
      <w:r>
        <w:t xml:space="preserve"> </w:t>
      </w:r>
    </w:p>
    <w:p w:rsidR="00DB5345" w:rsidRDefault="00A030A5" w:rsidP="00435F5F">
      <w:pPr>
        <w:pStyle w:val="Brdtext"/>
      </w:pPr>
      <w:r>
        <w:t>Generellt pres</w:t>
      </w:r>
      <w:r w:rsidR="004A46C8">
        <w:t>terar</w:t>
      </w:r>
      <w:r>
        <w:t xml:space="preserve"> </w:t>
      </w:r>
      <w:r w:rsidR="00A403C5">
        <w:t>skild</w:t>
      </w:r>
      <w:r w:rsidR="00601510">
        <w:t xml:space="preserve">a länder </w:t>
      </w:r>
      <w:r w:rsidR="00C34530">
        <w:t>och lärosäten</w:t>
      </w:r>
      <w:r w:rsidR="00FF06D6">
        <w:t xml:space="preserve"> </w:t>
      </w:r>
      <w:r w:rsidR="00601510">
        <w:t xml:space="preserve">bättre inom </w:t>
      </w:r>
      <w:r w:rsidR="00A403C5">
        <w:t>vissa</w:t>
      </w:r>
      <w:r w:rsidR="00601510">
        <w:t xml:space="preserve"> </w:t>
      </w:r>
      <w:proofErr w:type="spellStart"/>
      <w:r w:rsidR="00601510">
        <w:t>SDG:</w:t>
      </w:r>
      <w:r w:rsidR="00585D6D">
        <w:t>er</w:t>
      </w:r>
      <w:proofErr w:type="spellEnd"/>
      <w:r w:rsidR="00585D6D">
        <w:t xml:space="preserve"> än andra</w:t>
      </w:r>
      <w:r w:rsidR="00676D6E">
        <w:t>,</w:t>
      </w:r>
      <w:r w:rsidR="00585D6D">
        <w:t xml:space="preserve"> </w:t>
      </w:r>
      <w:r w:rsidR="00BD134C">
        <w:t xml:space="preserve">framför allt </w:t>
      </w:r>
      <w:r w:rsidR="00585D6D">
        <w:t xml:space="preserve"> beroende på specialisering</w:t>
      </w:r>
      <w:r w:rsidR="000A6EC3">
        <w:t xml:space="preserve"> och </w:t>
      </w:r>
      <w:r w:rsidR="00810287">
        <w:t xml:space="preserve">ämnesmässig </w:t>
      </w:r>
      <w:r w:rsidR="000A6EC3">
        <w:t>relevans</w:t>
      </w:r>
      <w:r w:rsidR="008B15A5">
        <w:t xml:space="preserve">. </w:t>
      </w:r>
      <w:r w:rsidR="00AE3A14">
        <w:t>N</w:t>
      </w:r>
      <w:r>
        <w:t xml:space="preserve">ågra universitet från </w:t>
      </w:r>
      <w:r w:rsidR="00C962DA">
        <w:t>Sydosta</w:t>
      </w:r>
      <w:r>
        <w:t xml:space="preserve">sien och </w:t>
      </w:r>
      <w:r w:rsidR="00601510">
        <w:t>Syd-</w:t>
      </w:r>
      <w:r>
        <w:t xml:space="preserve"> och </w:t>
      </w:r>
      <w:r w:rsidR="00601510">
        <w:t>Mellana</w:t>
      </w:r>
      <w:r>
        <w:t xml:space="preserve">merika presterar </w:t>
      </w:r>
      <w:r w:rsidR="00A403C5">
        <w:t xml:space="preserve">mycket </w:t>
      </w:r>
      <w:r>
        <w:t xml:space="preserve">bra </w:t>
      </w:r>
      <w:r w:rsidR="00601510">
        <w:t xml:space="preserve">inom </w:t>
      </w:r>
      <w:r w:rsidR="00A403C5">
        <w:t xml:space="preserve">enstaka </w:t>
      </w:r>
      <w:proofErr w:type="spellStart"/>
      <w:r w:rsidR="00601510">
        <w:t>SDG:er</w:t>
      </w:r>
      <w:proofErr w:type="spellEnd"/>
      <w:r>
        <w:t>, men har</w:t>
      </w:r>
      <w:r w:rsidR="00A403C5">
        <w:t xml:space="preserve"> svårare</w:t>
      </w:r>
      <w:r>
        <w:t xml:space="preserve"> att hävda sig i den totala rankningen. </w:t>
      </w:r>
      <w:r w:rsidR="00A403C5">
        <w:t>Vid sidan av</w:t>
      </w:r>
      <w:r w:rsidR="00601510">
        <w:t xml:space="preserve"> det brittiska och Oceaniska intresset</w:t>
      </w:r>
      <w:r w:rsidR="00DB5345" w:rsidRPr="00DB5345">
        <w:t xml:space="preserve"> </w:t>
      </w:r>
      <w:r w:rsidR="00601510">
        <w:t xml:space="preserve">har </w:t>
      </w:r>
      <w:r w:rsidR="00C34530">
        <w:t>några</w:t>
      </w:r>
      <w:r w:rsidR="00601510">
        <w:t xml:space="preserve"> </w:t>
      </w:r>
      <w:r w:rsidR="003C04B5">
        <w:t>l</w:t>
      </w:r>
      <w:r w:rsidR="00601510">
        <w:t>änder</w:t>
      </w:r>
      <w:r w:rsidR="00DB5345" w:rsidRPr="00DB5345">
        <w:t xml:space="preserve"> </w:t>
      </w:r>
      <w:r w:rsidR="00585D6D">
        <w:t>prioriterat</w:t>
      </w:r>
      <w:r w:rsidR="00DB5345">
        <w:t xml:space="preserve"> rankningen: </w:t>
      </w:r>
      <w:r w:rsidR="00DB5345" w:rsidRPr="00DB5345">
        <w:t xml:space="preserve">63 japanska universitet, 47 ryska och 37 turkiska </w:t>
      </w:r>
      <w:r w:rsidR="00DB5345">
        <w:t>universitet</w:t>
      </w:r>
      <w:r w:rsidR="00DB5345" w:rsidRPr="00DB5345">
        <w:t xml:space="preserve"> har </w:t>
      </w:r>
      <w:r w:rsidR="00DB5345">
        <w:t xml:space="preserve">exempelvis </w:t>
      </w:r>
      <w:r w:rsidR="00DB5345" w:rsidRPr="00DB5345">
        <w:t xml:space="preserve">rapporterat </w:t>
      </w:r>
      <w:r w:rsidR="00C72374">
        <w:t xml:space="preserve">in </w:t>
      </w:r>
      <w:r w:rsidR="00DB5345" w:rsidRPr="00DB5345">
        <w:t>data</w:t>
      </w:r>
      <w:r w:rsidR="00DB5345">
        <w:t>.</w:t>
      </w:r>
      <w:r w:rsidR="00601510">
        <w:t xml:space="preserve"> I det ryska </w:t>
      </w:r>
      <w:r w:rsidR="008B15A5">
        <w:t>exemplet</w:t>
      </w:r>
      <w:r w:rsidR="00601510">
        <w:t xml:space="preserve"> har det sannolikt varit en del av Putins målsättning att ha fem universitet bland de 100 högst rankade, tre stycken uppnådde för övrigt detta mål i denna rankning.</w:t>
      </w:r>
    </w:p>
    <w:p w:rsidR="0054324A" w:rsidRDefault="0054324A" w:rsidP="00435F5F">
      <w:pPr>
        <w:pStyle w:val="Brdtext"/>
      </w:pPr>
    </w:p>
    <w:p w:rsidR="00810287" w:rsidRDefault="00810287" w:rsidP="00810287">
      <w:pPr>
        <w:pStyle w:val="Rubrik1"/>
      </w:pPr>
      <w:bookmarkStart w:id="1" w:name="_Toc52351569"/>
      <w:r>
        <w:lastRenderedPageBreak/>
        <w:t>Metodik</w:t>
      </w:r>
      <w:bookmarkEnd w:id="1"/>
    </w:p>
    <w:p w:rsidR="002F1FFA" w:rsidRDefault="002F1FFA" w:rsidP="002F1FFA">
      <w:pPr>
        <w:pStyle w:val="Brdtext"/>
      </w:pPr>
      <w:r>
        <w:t>Resultatet för den totala rankningen baseras på hur res</w:t>
      </w:r>
      <w:r w:rsidR="004A024D">
        <w:t>pektive lärosäte presterar inom</w:t>
      </w:r>
      <w:r>
        <w:t xml:space="preserve"> SDG 17 </w:t>
      </w:r>
      <w:r w:rsidRPr="00F27647">
        <w:t xml:space="preserve">Partnership for the </w:t>
      </w:r>
      <w:proofErr w:type="spellStart"/>
      <w:r w:rsidRPr="00F27647">
        <w:t>Goals</w:t>
      </w:r>
      <w:proofErr w:type="spellEnd"/>
      <w:r>
        <w:t xml:space="preserve">, som är obligatorisk och viktad 22 procent, samt de tre främsta resultaten för övriga </w:t>
      </w:r>
      <w:proofErr w:type="spellStart"/>
      <w:r>
        <w:t>SDG</w:t>
      </w:r>
      <w:r w:rsidR="004A024D">
        <w:t>:er</w:t>
      </w:r>
      <w:proofErr w:type="spellEnd"/>
      <w:r>
        <w:t xml:space="preserve"> där lärosätet har rapporterat in data, där respektive SDG viktas 26 procent. </w:t>
      </w:r>
    </w:p>
    <w:p w:rsidR="002F1FFA" w:rsidRPr="00A403C5" w:rsidRDefault="002F1FFA" w:rsidP="00435F5F">
      <w:pPr>
        <w:pStyle w:val="Brdtext"/>
      </w:pPr>
      <w:r>
        <w:t xml:space="preserve">Metodiken får </w:t>
      </w:r>
      <w:r w:rsidR="0011297E">
        <w:t>konsekvensen</w:t>
      </w:r>
      <w:r>
        <w:t xml:space="preserve"> att rankningen är instabil med ovanligt stora skiftningar.</w:t>
      </w:r>
      <w:r w:rsidR="00B94A38">
        <w:rPr>
          <w:rStyle w:val="Fotnotsreferens"/>
        </w:rPr>
        <w:footnoteReference w:id="1"/>
      </w:r>
      <w:r>
        <w:t xml:space="preserve"> </w:t>
      </w:r>
      <w:r w:rsidR="001059F8">
        <w:t>Montreal och Padua</w:t>
      </w:r>
      <w:r w:rsidRPr="00E525BD">
        <w:t>,</w:t>
      </w:r>
      <w:r>
        <w:rPr>
          <w:rFonts w:ascii="Calibri" w:eastAsia="Times New Roman" w:hAnsi="Calibri" w:cs="Calibri"/>
          <w:sz w:val="24"/>
          <w:szCs w:val="24"/>
          <w:lang w:eastAsia="sv-SE"/>
        </w:rPr>
        <w:t xml:space="preserve"> </w:t>
      </w:r>
      <w:r>
        <w:t>som</w:t>
      </w:r>
      <w:r w:rsidR="00C46D8E">
        <w:t xml:space="preserve"> båda</w:t>
      </w:r>
      <w:r>
        <w:t xml:space="preserve"> 2019 var rankade topp 20, har rasat till intervallet 101-200. KTH har backat med 70 placeringar, Helsingfors med 65 och Göteborg med 39 för att nämna några. University of Southampton förfaller ha hoppat av rankningen, trots en tidigare 12:e placering.</w:t>
      </w:r>
    </w:p>
    <w:p w:rsidR="002C0341" w:rsidRDefault="006D73CD" w:rsidP="00435F5F">
      <w:pPr>
        <w:pStyle w:val="Brdtext"/>
      </w:pPr>
      <w:r>
        <w:t xml:space="preserve">Rankingen består </w:t>
      </w:r>
      <w:r w:rsidR="00601510">
        <w:t xml:space="preserve">totalt </w:t>
      </w:r>
      <w:r>
        <w:t>av 223 indikatorer.</w:t>
      </w:r>
      <w:r w:rsidR="004A024D">
        <w:t xml:space="preserve"> För att</w:t>
      </w:r>
      <w:r w:rsidR="000A6BBE">
        <w:t xml:space="preserve"> </w:t>
      </w:r>
      <w:r w:rsidR="004A024D">
        <w:t>räkna fram poängen används Z scores.</w:t>
      </w:r>
    </w:p>
    <w:p w:rsidR="002C0341" w:rsidRPr="002C0341" w:rsidRDefault="002C0341" w:rsidP="002C0341">
      <w:pPr>
        <w:pStyle w:val="Rubrik4"/>
      </w:pPr>
      <w:r w:rsidRPr="002C0341">
        <w:t>Bibliometri</w:t>
      </w:r>
    </w:p>
    <w:p w:rsidR="00556B6D" w:rsidRDefault="008F4D2E" w:rsidP="00435F5F">
      <w:pPr>
        <w:pStyle w:val="Brdtext"/>
      </w:pPr>
      <w:r>
        <w:t>Bibliometri utgör d</w:t>
      </w:r>
      <w:r w:rsidR="006D73CD">
        <w:t xml:space="preserve">rygt en fjärdedel </w:t>
      </w:r>
      <w:r>
        <w:t xml:space="preserve">av </w:t>
      </w:r>
      <w:r w:rsidR="006D73CD">
        <w:t>indikatorer</w:t>
      </w:r>
      <w:r>
        <w:t>na</w:t>
      </w:r>
      <w:r w:rsidR="008B15A5">
        <w:t>, det vill säga</w:t>
      </w:r>
      <w:r w:rsidR="00585D6D">
        <w:t>:</w:t>
      </w:r>
      <w:r w:rsidR="008B15A5">
        <w:t xml:space="preserve"> </w:t>
      </w:r>
      <w:r w:rsidR="006D73CD">
        <w:t>fältnormerad citeringsgrad</w:t>
      </w:r>
      <w:r w:rsidR="00A5156F">
        <w:t xml:space="preserve">, </w:t>
      </w:r>
      <w:r w:rsidR="00A106DD">
        <w:t xml:space="preserve">andel publikationer bland de </w:t>
      </w:r>
      <w:r w:rsidR="00810287">
        <w:t>tio</w:t>
      </w:r>
      <w:r w:rsidR="00A106DD">
        <w:t xml:space="preserve"> procent högst citerade tidskrifterna</w:t>
      </w:r>
      <w:r w:rsidR="008F20F2">
        <w:t xml:space="preserve"> enligt </w:t>
      </w:r>
      <w:proofErr w:type="spellStart"/>
      <w:r w:rsidR="008F20F2">
        <w:t>Citescore</w:t>
      </w:r>
      <w:proofErr w:type="spellEnd"/>
      <w:r w:rsidR="00A106DD">
        <w:t>, publikationsvolym</w:t>
      </w:r>
      <w:r w:rsidR="00905671">
        <w:t>, sampublicering med forskare från utvecklingsländer</w:t>
      </w:r>
      <w:r w:rsidR="007A7E65">
        <w:t>, andel artiklar skrivna av kvinnor,</w:t>
      </w:r>
      <w:r w:rsidR="00A106DD">
        <w:t xml:space="preserve"> </w:t>
      </w:r>
      <w:r w:rsidR="004448BD">
        <w:t xml:space="preserve">antal och andel artiklar som behandlar jämställdhet </w:t>
      </w:r>
      <w:r w:rsidR="00A106DD">
        <w:t xml:space="preserve">och </w:t>
      </w:r>
      <w:r w:rsidR="00A5156F">
        <w:t xml:space="preserve">antal nedladdningar av </w:t>
      </w:r>
      <w:r w:rsidR="002D1A8E">
        <w:t>pu</w:t>
      </w:r>
      <w:r w:rsidR="00A106DD">
        <w:t>blikationer som berör hållbarhet</w:t>
      </w:r>
      <w:r w:rsidR="00CF4D41">
        <w:t xml:space="preserve"> samt antal patent som citerar publicerad forskning</w:t>
      </w:r>
      <w:r w:rsidR="00A106DD">
        <w:t xml:space="preserve">. </w:t>
      </w:r>
      <w:r w:rsidR="00905671">
        <w:t xml:space="preserve">Valet av bibliometriska indikatorer varierar från SDG till SDG. </w:t>
      </w:r>
    </w:p>
    <w:p w:rsidR="002C0341" w:rsidRDefault="00905671" w:rsidP="00435F5F">
      <w:pPr>
        <w:pStyle w:val="Brdtext"/>
      </w:pPr>
      <w:r>
        <w:t>Underlaget</w:t>
      </w:r>
      <w:r w:rsidR="007A7E65">
        <w:t xml:space="preserve"> (bortsett från andel artiklar skrivna av kvinnor</w:t>
      </w:r>
      <w:r w:rsidR="00880F05">
        <w:t xml:space="preserve"> </w:t>
      </w:r>
      <w:r w:rsidR="007A7E65">
        <w:t>och sampublicering</w:t>
      </w:r>
      <w:r w:rsidR="00914635">
        <w:t xml:space="preserve"> samt patent</w:t>
      </w:r>
      <w:r>
        <w:t xml:space="preserve">) </w:t>
      </w:r>
      <w:r w:rsidR="00A106DD">
        <w:t xml:space="preserve">baseras på </w:t>
      </w:r>
      <w:r w:rsidR="006D73CD">
        <w:t>en me</w:t>
      </w:r>
      <w:r w:rsidR="002D1A8E">
        <w:t>tod s</w:t>
      </w:r>
      <w:r w:rsidR="00A106DD">
        <w:t xml:space="preserve">om tagits fram av Elsevier och </w:t>
      </w:r>
      <w:r w:rsidR="002D1A8E">
        <w:t>redovisas</w:t>
      </w:r>
      <w:r w:rsidR="00D912D1">
        <w:t xml:space="preserve"> i Elseviers </w:t>
      </w:r>
      <w:proofErr w:type="spellStart"/>
      <w:r w:rsidR="00D912D1">
        <w:t>Sustainability</w:t>
      </w:r>
      <w:proofErr w:type="spellEnd"/>
      <w:r w:rsidR="00D912D1">
        <w:t xml:space="preserve"> </w:t>
      </w:r>
      <w:proofErr w:type="spellStart"/>
      <w:r w:rsidR="00D912D1">
        <w:t>R</w:t>
      </w:r>
      <w:r w:rsidR="002D1A8E">
        <w:t>eport</w:t>
      </w:r>
      <w:proofErr w:type="spellEnd"/>
      <w:r w:rsidR="002D1A8E">
        <w:t>. Elsevier</w:t>
      </w:r>
      <w:r w:rsidR="006D73CD">
        <w:t xml:space="preserve"> mäter hur många av lärosätets publikationer </w:t>
      </w:r>
      <w:r w:rsidR="003C04B5">
        <w:t xml:space="preserve">som </w:t>
      </w:r>
      <w:r w:rsidR="00914635">
        <w:t xml:space="preserve">berör FN:s </w:t>
      </w:r>
      <w:r w:rsidR="006D73CD">
        <w:t xml:space="preserve">hållbarhetsmål. </w:t>
      </w:r>
      <w:r w:rsidR="002D1A8E">
        <w:t>Underlaget tas ur Scopus</w:t>
      </w:r>
      <w:r w:rsidR="00494341">
        <w:t xml:space="preserve"> och </w:t>
      </w:r>
      <w:r w:rsidR="003C04B5">
        <w:t xml:space="preserve">innevarande rankning </w:t>
      </w:r>
      <w:r w:rsidR="00494341">
        <w:t>baseras på femårsfönstret</w:t>
      </w:r>
      <w:r w:rsidR="008B15A5">
        <w:t xml:space="preserve"> </w:t>
      </w:r>
      <w:r w:rsidR="00494341">
        <w:t>2014-2018.</w:t>
      </w:r>
    </w:p>
    <w:p w:rsidR="002C0341" w:rsidRPr="002C0341" w:rsidRDefault="002C0341" w:rsidP="002C0341">
      <w:pPr>
        <w:pStyle w:val="Rubrik4"/>
      </w:pPr>
      <w:r w:rsidRPr="002C0341">
        <w:t>Egenrapporterat material</w:t>
      </w:r>
    </w:p>
    <w:p w:rsidR="008B15A5" w:rsidRDefault="00A5156F" w:rsidP="00435F5F">
      <w:pPr>
        <w:pStyle w:val="Brdtext"/>
      </w:pPr>
      <w:r>
        <w:t>Resterande material består av uppgifter som respektive lärosäte själv rapporterat in</w:t>
      </w:r>
      <w:r w:rsidR="008F2066">
        <w:t xml:space="preserve"> såsom ekonomiska uppgifter, antalet anställda, energiförbrukning etc</w:t>
      </w:r>
      <w:r>
        <w:t xml:space="preserve">. Drygt en fjärdedel berör andelsmått, en femtedel per capitamått och resterande uppgifter som består av </w:t>
      </w:r>
      <w:r w:rsidR="00585D6D">
        <w:t>bedömningar av</w:t>
      </w:r>
      <w:r>
        <w:t xml:space="preserve"> texter</w:t>
      </w:r>
      <w:r w:rsidR="00E525BD">
        <w:t xml:space="preserve"> som redovisas genom </w:t>
      </w:r>
      <w:proofErr w:type="spellStart"/>
      <w:r w:rsidR="00E525BD">
        <w:t>urlar</w:t>
      </w:r>
      <w:proofErr w:type="spellEnd"/>
      <w:r w:rsidR="00E525BD">
        <w:t xml:space="preserve"> eller </w:t>
      </w:r>
      <w:proofErr w:type="spellStart"/>
      <w:r w:rsidR="00E525BD">
        <w:t>pdf:</w:t>
      </w:r>
      <w:r w:rsidR="00495BB4">
        <w:t>e</w:t>
      </w:r>
      <w:r w:rsidR="00E525BD">
        <w:t>r</w:t>
      </w:r>
      <w:proofErr w:type="spellEnd"/>
      <w:r>
        <w:t>. Te</w:t>
      </w:r>
      <w:r w:rsidR="00E525BD">
        <w:t>x</w:t>
      </w:r>
      <w:r>
        <w:t>terna har betygssatts e</w:t>
      </w:r>
      <w:r w:rsidR="002D1A8E">
        <w:t>n</w:t>
      </w:r>
      <w:r>
        <w:t>lig</w:t>
      </w:r>
      <w:r w:rsidR="002D1A8E">
        <w:t>t</w:t>
      </w:r>
      <w:r>
        <w:t xml:space="preserve"> skalan</w:t>
      </w:r>
      <w:r w:rsidR="008B15A5">
        <w:t>:</w:t>
      </w:r>
      <w:r>
        <w:t xml:space="preserve"> 1 poäng om </w:t>
      </w:r>
      <w:r w:rsidR="002D1A8E">
        <w:t>innehållet är m</w:t>
      </w:r>
      <w:r>
        <w:t xml:space="preserve">ycket relevant och publikt, 0, 5 poäng om </w:t>
      </w:r>
      <w:r w:rsidR="002D1A8E">
        <w:t>innehållet</w:t>
      </w:r>
      <w:r>
        <w:t xml:space="preserve"> är </w:t>
      </w:r>
      <w:r w:rsidR="002D1A8E">
        <w:t>relevant</w:t>
      </w:r>
      <w:r>
        <w:t xml:space="preserve"> och publikt och 0 poäng om </w:t>
      </w:r>
      <w:r w:rsidR="002D1A8E">
        <w:t xml:space="preserve"> innehållet</w:t>
      </w:r>
      <w:r>
        <w:t xml:space="preserve"> inte är relevant. </w:t>
      </w:r>
      <w:r w:rsidR="002D1A8E">
        <w:t xml:space="preserve">Här </w:t>
      </w:r>
      <w:r w:rsidR="002C0341">
        <w:t>föreligger</w:t>
      </w:r>
      <w:r w:rsidR="002D1A8E">
        <w:t xml:space="preserve"> </w:t>
      </w:r>
      <w:r w:rsidR="00904A2A">
        <w:t>risken för subjektiva tolkningar</w:t>
      </w:r>
      <w:r w:rsidR="002D1A8E">
        <w:t xml:space="preserve"> </w:t>
      </w:r>
      <w:r w:rsidR="00A403C5">
        <w:t>hos</w:t>
      </w:r>
      <w:r w:rsidR="00875F1A">
        <w:t xml:space="preserve"> den</w:t>
      </w:r>
      <w:r w:rsidR="00A403C5">
        <w:t xml:space="preserve"> </w:t>
      </w:r>
      <w:r w:rsidR="00E525BD">
        <w:t>som granskar materialet samt</w:t>
      </w:r>
      <w:r w:rsidR="002D1A8E">
        <w:t xml:space="preserve"> att vissa </w:t>
      </w:r>
      <w:r w:rsidR="00A403C5">
        <w:t>granskare</w:t>
      </w:r>
      <w:r w:rsidR="002D1A8E">
        <w:t xml:space="preserve"> </w:t>
      </w:r>
      <w:r w:rsidR="008B15A5">
        <w:t>torde vara mer</w:t>
      </w:r>
      <w:r w:rsidR="002D1A8E">
        <w:t xml:space="preserve"> </w:t>
      </w:r>
      <w:r w:rsidR="00904A2A">
        <w:t>restriktiva</w:t>
      </w:r>
      <w:r w:rsidR="002D1A8E">
        <w:t xml:space="preserve"> </w:t>
      </w:r>
      <w:r w:rsidR="003C04B5">
        <w:t xml:space="preserve">när det kommer till </w:t>
      </w:r>
      <w:r w:rsidR="002D1A8E">
        <w:t>att ge full poäng än andra.</w:t>
      </w:r>
      <w:r w:rsidR="00E525BD">
        <w:t xml:space="preserve"> </w:t>
      </w:r>
    </w:p>
    <w:p w:rsidR="00494341" w:rsidRPr="00552BB1" w:rsidRDefault="00494341" w:rsidP="00435F5F">
      <w:pPr>
        <w:pStyle w:val="Brdtext"/>
        <w:rPr>
          <w:lang w:val="en-US"/>
        </w:rPr>
      </w:pPr>
      <w:r w:rsidRPr="00552BB1">
        <w:rPr>
          <w:lang w:val="en-US"/>
        </w:rPr>
        <w:t xml:space="preserve">THE </w:t>
      </w:r>
      <w:proofErr w:type="spellStart"/>
      <w:r w:rsidRPr="00552BB1">
        <w:rPr>
          <w:lang w:val="en-US"/>
        </w:rPr>
        <w:t>sammanfattar</w:t>
      </w:r>
      <w:proofErr w:type="spellEnd"/>
      <w:r w:rsidRPr="00552BB1">
        <w:rPr>
          <w:lang w:val="en-US"/>
        </w:rPr>
        <w:t>:</w:t>
      </w:r>
    </w:p>
    <w:p w:rsidR="00494341" w:rsidRDefault="00494341" w:rsidP="004C2D14">
      <w:pPr>
        <w:pStyle w:val="Brdtext"/>
        <w:ind w:left="1304"/>
        <w:rPr>
          <w:lang w:val="en-US"/>
        </w:rPr>
      </w:pPr>
      <w:r>
        <w:rPr>
          <w:lang w:val="en-US"/>
        </w:rPr>
        <w:t>“</w:t>
      </w:r>
      <w:r w:rsidRPr="00CB613C">
        <w:rPr>
          <w:lang w:val="en-US"/>
        </w:rPr>
        <w:t xml:space="preserve">When we ask about policies and initiatives – for example, the existence of mentoring </w:t>
      </w:r>
      <w:proofErr w:type="spellStart"/>
      <w:r w:rsidRPr="00CB613C">
        <w:rPr>
          <w:lang w:val="en-US"/>
        </w:rPr>
        <w:t>programmes</w:t>
      </w:r>
      <w:proofErr w:type="spellEnd"/>
      <w:r w:rsidRPr="00CB613C">
        <w:rPr>
          <w:lang w:val="en-US"/>
        </w:rPr>
        <w:t xml:space="preserve"> – our metrics require universities to provide the evidence to support their claims. In these cases, we give credit for the evidence and for the evidence being public. These metrics are not usually size </w:t>
      </w:r>
      <w:proofErr w:type="spellStart"/>
      <w:r w:rsidRPr="00CB613C">
        <w:rPr>
          <w:lang w:val="en-US"/>
        </w:rPr>
        <w:t>normalised</w:t>
      </w:r>
      <w:proofErr w:type="spellEnd"/>
      <w:r w:rsidRPr="00CB613C">
        <w:rPr>
          <w:lang w:val="en-US"/>
        </w:rPr>
        <w:t>.</w:t>
      </w:r>
      <w:r>
        <w:rPr>
          <w:lang w:val="en-US"/>
        </w:rPr>
        <w:t xml:space="preserve"> </w:t>
      </w:r>
      <w:r w:rsidRPr="00CB613C">
        <w:rPr>
          <w:lang w:val="en-US"/>
        </w:rPr>
        <w:t xml:space="preserve">Evidence is evaluated against a set of criteria and decisions are </w:t>
      </w:r>
      <w:proofErr w:type="gramStart"/>
      <w:r w:rsidRPr="00CB613C">
        <w:rPr>
          <w:lang w:val="en-US"/>
        </w:rPr>
        <w:t>cross validated</w:t>
      </w:r>
      <w:proofErr w:type="gramEnd"/>
      <w:r w:rsidRPr="00CB613C">
        <w:rPr>
          <w:lang w:val="en-US"/>
        </w:rPr>
        <w:t xml:space="preserve"> where there is uncertainty. Evidence is not required to be </w:t>
      </w:r>
      <w:r w:rsidRPr="00CB613C">
        <w:rPr>
          <w:lang w:val="en-US"/>
        </w:rPr>
        <w:lastRenderedPageBreak/>
        <w:t>exhaustive – we are looking for examples that demonstrate best practice at the institutions concerned.</w:t>
      </w:r>
      <w:r>
        <w:rPr>
          <w:lang w:val="en-US"/>
        </w:rPr>
        <w:t>”</w:t>
      </w:r>
    </w:p>
    <w:p w:rsidR="00F9631D" w:rsidRDefault="008B15A5" w:rsidP="00C34530">
      <w:pPr>
        <w:pStyle w:val="Brdtext"/>
      </w:pPr>
      <w:r>
        <w:t>Enligt min bedömning har inte THE</w:t>
      </w:r>
      <w:r w:rsidR="00C34530">
        <w:t xml:space="preserve"> personella resurser varken för att granska texterna noggrant eller att de på ett rättvisande sätt kan bedöma de texter som redovisas på annat språk än engelska.</w:t>
      </w:r>
      <w:r w:rsidR="00132C65">
        <w:t xml:space="preserve"> </w:t>
      </w:r>
    </w:p>
    <w:p w:rsidR="00494341" w:rsidRDefault="00494341" w:rsidP="00494341">
      <w:pPr>
        <w:pStyle w:val="Brdtext"/>
      </w:pPr>
      <w:r>
        <w:t>Kan man inte lämna in något data alls</w:t>
      </w:r>
      <w:r w:rsidR="00AD1991">
        <w:t>, exempelvis</w:t>
      </w:r>
      <w:r w:rsidR="003C04B5">
        <w:t xml:space="preserve"> på frågan hur</w:t>
      </w:r>
      <w:r w:rsidR="00AD1991">
        <w:t xml:space="preserve"> många personer med funktionsnedsättning </w:t>
      </w:r>
      <w:r w:rsidR="00A403C5">
        <w:t>lärosätet</w:t>
      </w:r>
      <w:r w:rsidR="00AD1991">
        <w:t xml:space="preserve"> har,</w:t>
      </w:r>
      <w:r>
        <w:t xml:space="preserve"> </w:t>
      </w:r>
      <w:r w:rsidR="002C0341">
        <w:t>tilldelas</w:t>
      </w:r>
      <w:r>
        <w:t xml:space="preserve"> man 0 poäng</w:t>
      </w:r>
      <w:r w:rsidR="002C0341">
        <w:t>, oavsett om man presenterat en giltig förklaring eller inte</w:t>
      </w:r>
      <w:r>
        <w:t xml:space="preserve">. </w:t>
      </w:r>
      <w:r w:rsidR="002D4345">
        <w:t>Det är alltså viktigt att alltid lämna in data</w:t>
      </w:r>
      <w:r w:rsidR="00535088">
        <w:t xml:space="preserve"> och att göra uppskattningar</w:t>
      </w:r>
      <w:r w:rsidR="005B021A">
        <w:t xml:space="preserve"> om man inte </w:t>
      </w:r>
      <w:r w:rsidR="00BD38E4">
        <w:t>kan ge</w:t>
      </w:r>
      <w:r w:rsidR="005B021A">
        <w:t xml:space="preserve"> några exakta uppgifter</w:t>
      </w:r>
      <w:r w:rsidR="002D4345">
        <w:t xml:space="preserve">. </w:t>
      </w:r>
    </w:p>
    <w:p w:rsidR="007028BD" w:rsidRDefault="00F27F3E" w:rsidP="00F27F3E">
      <w:pPr>
        <w:pStyle w:val="Brdtext"/>
      </w:pPr>
      <w:r>
        <w:t>Rankningen premiera</w:t>
      </w:r>
      <w:r w:rsidR="003F77BA">
        <w:t>r</w:t>
      </w:r>
      <w:r>
        <w:t xml:space="preserve"> insatser som görs </w:t>
      </w:r>
      <w:r w:rsidR="002D4345">
        <w:t>av universitetet på</w:t>
      </w:r>
      <w:r>
        <w:t xml:space="preserve"> eget initiativ och </w:t>
      </w:r>
      <w:r w:rsidR="002D4345">
        <w:t>i egen regi</w:t>
      </w:r>
      <w:r>
        <w:t xml:space="preserve"> snarare än åtgärder som beslutats via lagstiftning och/ eller genomförs i offentlig regi. Exempel på detta är att det är bättre att ha egna </w:t>
      </w:r>
      <w:r w:rsidR="002D4345">
        <w:t>riktlinjer/</w:t>
      </w:r>
      <w:r w:rsidR="00D84653">
        <w:t xml:space="preserve"> </w:t>
      </w:r>
      <w:r w:rsidR="002D4345">
        <w:t>policys</w:t>
      </w:r>
      <w:r>
        <w:t xml:space="preserve"> än att hä</w:t>
      </w:r>
      <w:r w:rsidR="002D4345">
        <w:t>nvisa</w:t>
      </w:r>
      <w:r>
        <w:t xml:space="preserve"> till befintlig lagstiftning</w:t>
      </w:r>
      <w:r w:rsidR="00A26EB2">
        <w:t xml:space="preserve"> samt att det är</w:t>
      </w:r>
      <w:r w:rsidR="007028BD">
        <w:t xml:space="preserve"> bättre att ha en egen vattenanläggning eller </w:t>
      </w:r>
      <w:r w:rsidR="002D4345">
        <w:t xml:space="preserve">att ha </w:t>
      </w:r>
      <w:r w:rsidR="007028BD">
        <w:t>en egen förskola än en offentlig</w:t>
      </w:r>
      <w:r>
        <w:t>. En annan problematik är att svensk lagstiftning söker säkerställa lika rättigheter för samtliga medborgare, snarare än att säkerställa positiv särbehandling för olika grupper, vilket är ett tillvägagå</w:t>
      </w:r>
      <w:r w:rsidR="00947C66">
        <w:t>ngsätt som denna rankning premierar</w:t>
      </w:r>
      <w:r>
        <w:t xml:space="preserve">. </w:t>
      </w:r>
    </w:p>
    <w:p w:rsidR="00F27F3E" w:rsidRPr="008F5D9B" w:rsidRDefault="00F27F3E" w:rsidP="00F27F3E">
      <w:pPr>
        <w:pStyle w:val="Brdtext"/>
      </w:pPr>
      <w:r>
        <w:t>I egenskap av ett forskningstungt tekniskt universitet har KTH också svårt att hävda sig inom områden</w:t>
      </w:r>
      <w:r w:rsidR="00535088">
        <w:t xml:space="preserve">/ </w:t>
      </w:r>
      <w:proofErr w:type="spellStart"/>
      <w:r w:rsidR="00535088">
        <w:t>SDG:er</w:t>
      </w:r>
      <w:proofErr w:type="spellEnd"/>
      <w:r>
        <w:t xml:space="preserve"> som ligger utanför kärnverksamheten sett till forskning och utbildning. Rankningen gynnar bredduniversitet snarare än </w:t>
      </w:r>
      <w:r w:rsidR="00952D12">
        <w:t>fack</w:t>
      </w:r>
      <w:r>
        <w:t>universitet.</w:t>
      </w:r>
    </w:p>
    <w:p w:rsidR="00810287" w:rsidRDefault="00810287" w:rsidP="00494341">
      <w:pPr>
        <w:pStyle w:val="Brdtext"/>
      </w:pPr>
    </w:p>
    <w:p w:rsidR="00810287" w:rsidRPr="00494341" w:rsidRDefault="00810287" w:rsidP="00810287">
      <w:pPr>
        <w:pStyle w:val="Rubrik1"/>
        <w:rPr>
          <w:sz w:val="20"/>
        </w:rPr>
      </w:pPr>
      <w:bookmarkStart w:id="2" w:name="_Toc52351570"/>
      <w:r>
        <w:t>Resultat KTH</w:t>
      </w:r>
      <w:bookmarkEnd w:id="2"/>
    </w:p>
    <w:p w:rsidR="00285443" w:rsidRDefault="006B1F59" w:rsidP="00435F5F">
      <w:pPr>
        <w:pStyle w:val="Brdtext"/>
      </w:pPr>
      <w:r>
        <w:t>Den främsta a</w:t>
      </w:r>
      <w:r w:rsidR="00904A2A">
        <w:t xml:space="preserve">nledningen till KTH:s </w:t>
      </w:r>
      <w:r w:rsidR="00F27647">
        <w:t>nedgång</w:t>
      </w:r>
      <w:r w:rsidR="002F1FFA">
        <w:t xml:space="preserve"> från placering 7 till 77</w:t>
      </w:r>
      <w:r w:rsidR="00904A2A">
        <w:t xml:space="preserve"> är att vi tappat inom de båda </w:t>
      </w:r>
      <w:proofErr w:type="spellStart"/>
      <w:r w:rsidR="00904A2A">
        <w:t>SDG</w:t>
      </w:r>
      <w:r w:rsidR="00F27647">
        <w:t>:er</w:t>
      </w:r>
      <w:r>
        <w:t>na</w:t>
      </w:r>
      <w:proofErr w:type="spellEnd"/>
      <w:r w:rsidR="00904A2A">
        <w:t xml:space="preserve"> där vi presterade bäst 2019, det vill säga SDG 9 </w:t>
      </w:r>
      <w:r w:rsidR="00BD0F5F" w:rsidRPr="00BD0F5F">
        <w:t xml:space="preserve">Industry, Innovation and </w:t>
      </w:r>
      <w:proofErr w:type="spellStart"/>
      <w:r w:rsidR="00BD0F5F" w:rsidRPr="00BD0F5F">
        <w:t>Infrastructure</w:t>
      </w:r>
      <w:proofErr w:type="spellEnd"/>
      <w:r>
        <w:t>,</w:t>
      </w:r>
      <w:r w:rsidR="00BD0F5F">
        <w:t xml:space="preserve"> </w:t>
      </w:r>
      <w:r w:rsidR="00904A2A">
        <w:t>där vi rankades som nr 3</w:t>
      </w:r>
      <w:r>
        <w:t>,</w:t>
      </w:r>
      <w:r w:rsidR="00904A2A">
        <w:t xml:space="preserve"> och SDG 8</w:t>
      </w:r>
      <w:r w:rsidR="00BD0F5F">
        <w:t xml:space="preserve"> </w:t>
      </w:r>
      <w:proofErr w:type="spellStart"/>
      <w:r w:rsidR="00BD0F5F" w:rsidRPr="00BD0F5F">
        <w:t>Decent</w:t>
      </w:r>
      <w:proofErr w:type="spellEnd"/>
      <w:r w:rsidR="00BD0F5F" w:rsidRPr="00BD0F5F">
        <w:t xml:space="preserve"> </w:t>
      </w:r>
      <w:proofErr w:type="spellStart"/>
      <w:r w:rsidR="00BD0F5F" w:rsidRPr="00BD0F5F">
        <w:t>Work</w:t>
      </w:r>
      <w:proofErr w:type="spellEnd"/>
      <w:r w:rsidR="00BD0F5F" w:rsidRPr="00BD0F5F">
        <w:t xml:space="preserve"> and </w:t>
      </w:r>
      <w:proofErr w:type="spellStart"/>
      <w:r w:rsidR="00BD0F5F" w:rsidRPr="00BD0F5F">
        <w:t>Economic</w:t>
      </w:r>
      <w:proofErr w:type="spellEnd"/>
      <w:r w:rsidR="00BD0F5F" w:rsidRPr="00BD0F5F">
        <w:t xml:space="preserve"> </w:t>
      </w:r>
      <w:proofErr w:type="spellStart"/>
      <w:r w:rsidR="00BD0F5F" w:rsidRPr="00BD0F5F">
        <w:t>Growth</w:t>
      </w:r>
      <w:proofErr w:type="spellEnd"/>
      <w:r w:rsidR="00904A2A">
        <w:t xml:space="preserve"> </w:t>
      </w:r>
      <w:r>
        <w:t xml:space="preserve">där vi rankades </w:t>
      </w:r>
      <w:r w:rsidR="00904A2A">
        <w:t xml:space="preserve">som nr 2. </w:t>
      </w:r>
      <w:r w:rsidR="008504E1">
        <w:t>Här</w:t>
      </w:r>
      <w:r w:rsidR="00904A2A">
        <w:t xml:space="preserve"> rankas vi </w:t>
      </w:r>
      <w:r w:rsidR="00F27647">
        <w:t xml:space="preserve">nu </w:t>
      </w:r>
      <w:r>
        <w:t xml:space="preserve">istället </w:t>
      </w:r>
      <w:r w:rsidR="00904A2A">
        <w:t xml:space="preserve">som 101-200 respektive 92. </w:t>
      </w:r>
    </w:p>
    <w:p w:rsidR="00904A2A" w:rsidRDefault="00904A2A" w:rsidP="00435F5F">
      <w:pPr>
        <w:pStyle w:val="Brdtext"/>
      </w:pPr>
      <w:r>
        <w:t>Inom SDG</w:t>
      </w:r>
      <w:r w:rsidR="00F27647">
        <w:t xml:space="preserve"> 9</w:t>
      </w:r>
      <w:r>
        <w:t xml:space="preserve"> presterar</w:t>
      </w:r>
      <w:r w:rsidR="00F27647">
        <w:t xml:space="preserve"> vi fortf</w:t>
      </w:r>
      <w:r>
        <w:t xml:space="preserve">arande mycket starkt inom </w:t>
      </w:r>
      <w:r w:rsidR="001D12E3">
        <w:t xml:space="preserve">indikatorerna </w:t>
      </w:r>
      <w:r w:rsidR="00A13147" w:rsidRPr="00A13147">
        <w:t xml:space="preserve">Research on </w:t>
      </w:r>
      <w:proofErr w:type="spellStart"/>
      <w:r w:rsidR="00A13147" w:rsidRPr="00A13147">
        <w:t>industry</w:t>
      </w:r>
      <w:proofErr w:type="spellEnd"/>
      <w:r w:rsidR="00A13147" w:rsidRPr="00A13147">
        <w:t xml:space="preserve">, innovation and </w:t>
      </w:r>
      <w:proofErr w:type="spellStart"/>
      <w:r w:rsidR="00A13147" w:rsidRPr="00A13147">
        <w:t>infrastructure</w:t>
      </w:r>
      <w:proofErr w:type="spellEnd"/>
      <w:r w:rsidR="00A13147">
        <w:t xml:space="preserve"> (bibliometri</w:t>
      </w:r>
      <w:r w:rsidR="00AE7E5B">
        <w:t>, viktad 11,6 procent</w:t>
      </w:r>
      <w:r w:rsidR="00A13147">
        <w:t>)</w:t>
      </w:r>
      <w:r>
        <w:t xml:space="preserve">, </w:t>
      </w:r>
      <w:r w:rsidR="00CF4D41" w:rsidRPr="00CF4D41">
        <w:t xml:space="preserve">Patents </w:t>
      </w:r>
      <w:proofErr w:type="spellStart"/>
      <w:r w:rsidR="00CF4D41" w:rsidRPr="00CF4D41">
        <w:t>citing</w:t>
      </w:r>
      <w:proofErr w:type="spellEnd"/>
      <w:r w:rsidR="00CF4D41" w:rsidRPr="00CF4D41">
        <w:t xml:space="preserve"> </w:t>
      </w:r>
      <w:proofErr w:type="spellStart"/>
      <w:r w:rsidR="00CF4D41" w:rsidRPr="00CF4D41">
        <w:t>university</w:t>
      </w:r>
      <w:proofErr w:type="spellEnd"/>
      <w:r w:rsidR="00CF4D41" w:rsidRPr="00CF4D41">
        <w:t xml:space="preserve"> research</w:t>
      </w:r>
      <w:r w:rsidR="00A13147" w:rsidRPr="00A13147">
        <w:t xml:space="preserve"> </w:t>
      </w:r>
      <w:r w:rsidR="00A13147">
        <w:t>(</w:t>
      </w:r>
      <w:proofErr w:type="spellStart"/>
      <w:r w:rsidR="00CF4D41">
        <w:t>bibliomteri</w:t>
      </w:r>
      <w:proofErr w:type="spellEnd"/>
      <w:r w:rsidR="00AE7E5B">
        <w:t>, viktad 15,4 procent</w:t>
      </w:r>
      <w:r w:rsidR="00A13147">
        <w:t>) och</w:t>
      </w:r>
      <w:r w:rsidR="0095728C">
        <w:t xml:space="preserve"> </w:t>
      </w:r>
      <w:proofErr w:type="spellStart"/>
      <w:r w:rsidR="0095728C">
        <w:t>Number</w:t>
      </w:r>
      <w:proofErr w:type="spellEnd"/>
      <w:r w:rsidR="0095728C">
        <w:t xml:space="preserve"> of</w:t>
      </w:r>
      <w:r w:rsidR="00A13147">
        <w:t xml:space="preserve"> </w:t>
      </w:r>
      <w:proofErr w:type="spellStart"/>
      <w:r w:rsidR="0095728C">
        <w:t>u</w:t>
      </w:r>
      <w:r w:rsidR="00A13147" w:rsidRPr="00A13147">
        <w:t>niversity</w:t>
      </w:r>
      <w:proofErr w:type="spellEnd"/>
      <w:r w:rsidR="00A13147" w:rsidRPr="00A13147">
        <w:t xml:space="preserve"> spin-offs</w:t>
      </w:r>
      <w:r w:rsidR="00AE7E5B">
        <w:t xml:space="preserve"> (viktad 34,5 procent)</w:t>
      </w:r>
      <w:r w:rsidR="00A13147">
        <w:t xml:space="preserve"> </w:t>
      </w:r>
      <w:r>
        <w:t xml:space="preserve">men desto sämre inom Research </w:t>
      </w:r>
      <w:proofErr w:type="spellStart"/>
      <w:r>
        <w:t>I</w:t>
      </w:r>
      <w:r w:rsidR="00FD2BF9">
        <w:t>n</w:t>
      </w:r>
      <w:r w:rsidR="00F27647">
        <w:t>come</w:t>
      </w:r>
      <w:proofErr w:type="spellEnd"/>
      <w:r w:rsidR="00F27647">
        <w:t xml:space="preserve"> f</w:t>
      </w:r>
      <w:r>
        <w:t>r</w:t>
      </w:r>
      <w:r w:rsidR="00F27647">
        <w:t>o</w:t>
      </w:r>
      <w:r>
        <w:t xml:space="preserve">m </w:t>
      </w:r>
      <w:proofErr w:type="spellStart"/>
      <w:r>
        <w:t>industry</w:t>
      </w:r>
      <w:proofErr w:type="spellEnd"/>
      <w:r>
        <w:t xml:space="preserve"> där vi tilldelades 33,3 poäng</w:t>
      </w:r>
      <w:r w:rsidR="00AE7E5B">
        <w:t xml:space="preserve"> (viktad 38,4 procent)</w:t>
      </w:r>
      <w:r>
        <w:t xml:space="preserve">. </w:t>
      </w:r>
      <w:r w:rsidR="006B1F59">
        <w:t xml:space="preserve">År </w:t>
      </w:r>
      <w:r>
        <w:t xml:space="preserve">2019 efterfrågades </w:t>
      </w:r>
      <w:r w:rsidR="006B1F59">
        <w:t xml:space="preserve">istället </w:t>
      </w:r>
      <w:r>
        <w:t xml:space="preserve">den totala forskningsinkomsten för lärosätet och här presterade vi betydligt </w:t>
      </w:r>
      <w:r w:rsidR="00A403C5">
        <w:t>bättre</w:t>
      </w:r>
      <w:r w:rsidR="006B1F59">
        <w:t xml:space="preserve"> och</w:t>
      </w:r>
      <w:r>
        <w:t xml:space="preserve"> tilldelades 90 poäng. En annan anledning till tappet är att Delft, </w:t>
      </w:r>
      <w:r w:rsidR="006B1F59">
        <w:t xml:space="preserve">École Polytechnique, </w:t>
      </w:r>
      <w:r>
        <w:t>MIT och flera andra relativt namnkunniga universitet lämnat in data på denna SDG</w:t>
      </w:r>
      <w:r w:rsidR="00F27647">
        <w:t xml:space="preserve"> och prestera</w:t>
      </w:r>
      <w:r w:rsidR="002F1FFA">
        <w:t>r</w:t>
      </w:r>
      <w:r w:rsidR="00F27647">
        <w:t xml:space="preserve"> bättre än KTH</w:t>
      </w:r>
      <w:r>
        <w:t>.</w:t>
      </w:r>
    </w:p>
    <w:p w:rsidR="00904A2A" w:rsidRDefault="00904A2A" w:rsidP="00435F5F">
      <w:pPr>
        <w:pStyle w:val="Brdtext"/>
      </w:pPr>
      <w:r>
        <w:t xml:space="preserve">Inom SDG 8 </w:t>
      </w:r>
      <w:proofErr w:type="spellStart"/>
      <w:r w:rsidR="00A75F19" w:rsidRPr="00BD0F5F">
        <w:t>Decent</w:t>
      </w:r>
      <w:proofErr w:type="spellEnd"/>
      <w:r w:rsidR="00A75F19" w:rsidRPr="00BD0F5F">
        <w:t xml:space="preserve"> </w:t>
      </w:r>
      <w:proofErr w:type="spellStart"/>
      <w:r w:rsidR="00A75F19" w:rsidRPr="00BD0F5F">
        <w:t>Work</w:t>
      </w:r>
      <w:proofErr w:type="spellEnd"/>
      <w:r w:rsidR="00A75F19" w:rsidRPr="00BD0F5F">
        <w:t xml:space="preserve"> and </w:t>
      </w:r>
      <w:proofErr w:type="spellStart"/>
      <w:r w:rsidR="00A75F19" w:rsidRPr="00BD0F5F">
        <w:t>Economic</w:t>
      </w:r>
      <w:proofErr w:type="spellEnd"/>
      <w:r w:rsidR="00A75F19" w:rsidRPr="00BD0F5F">
        <w:t xml:space="preserve"> </w:t>
      </w:r>
      <w:proofErr w:type="spellStart"/>
      <w:r w:rsidR="00A75F19" w:rsidRPr="00BD0F5F">
        <w:t>Growth</w:t>
      </w:r>
      <w:proofErr w:type="spellEnd"/>
      <w:r w:rsidR="00A75F19">
        <w:t xml:space="preserve"> </w:t>
      </w:r>
      <w:r>
        <w:t xml:space="preserve">har indikatorn </w:t>
      </w:r>
      <w:proofErr w:type="spellStart"/>
      <w:r w:rsidRPr="00904A2A">
        <w:t>Expenditure</w:t>
      </w:r>
      <w:proofErr w:type="spellEnd"/>
      <w:r w:rsidRPr="00904A2A">
        <w:t xml:space="preserve"> per </w:t>
      </w:r>
      <w:proofErr w:type="spellStart"/>
      <w:r w:rsidRPr="00904A2A">
        <w:t>employee</w:t>
      </w:r>
      <w:proofErr w:type="spellEnd"/>
      <w:r>
        <w:t xml:space="preserve"> </w:t>
      </w:r>
      <w:r w:rsidR="009122FE">
        <w:t xml:space="preserve">(viktad 15, 4 procent) </w:t>
      </w:r>
      <w:r>
        <w:t xml:space="preserve">tillkommit och </w:t>
      </w:r>
      <w:r w:rsidR="008F5D9B">
        <w:t xml:space="preserve">här </w:t>
      </w:r>
      <w:r>
        <w:t>tilldelade</w:t>
      </w:r>
      <w:r w:rsidR="008F5D9B">
        <w:t>s</w:t>
      </w:r>
      <w:r w:rsidR="006B1F59">
        <w:t xml:space="preserve"> vi</w:t>
      </w:r>
      <w:r w:rsidR="008F5D9B">
        <w:t xml:space="preserve"> endast</w:t>
      </w:r>
      <w:r>
        <w:t xml:space="preserve"> 40,4 poäng. </w:t>
      </w:r>
      <w:r w:rsidR="006B1F59">
        <w:t>KTH</w:t>
      </w:r>
      <w:r>
        <w:t xml:space="preserve"> har tappat rejält inom indikatorerna </w:t>
      </w:r>
      <w:proofErr w:type="spellStart"/>
      <w:r w:rsidRPr="00904A2A">
        <w:t>Employment</w:t>
      </w:r>
      <w:proofErr w:type="spellEnd"/>
      <w:r w:rsidRPr="00904A2A">
        <w:t xml:space="preserve"> </w:t>
      </w:r>
      <w:proofErr w:type="spellStart"/>
      <w:r w:rsidRPr="00904A2A">
        <w:t>practices</w:t>
      </w:r>
      <w:proofErr w:type="spellEnd"/>
      <w:r w:rsidR="009122FE">
        <w:t xml:space="preserve"> (viktad 19.6 procent)</w:t>
      </w:r>
      <w:r>
        <w:t xml:space="preserve"> och </w:t>
      </w:r>
      <w:r w:rsidRPr="00904A2A">
        <w:t xml:space="preserve">Proportion of students </w:t>
      </w:r>
      <w:proofErr w:type="spellStart"/>
      <w:r w:rsidRPr="00904A2A">
        <w:t>taking</w:t>
      </w:r>
      <w:proofErr w:type="spellEnd"/>
      <w:r w:rsidRPr="00904A2A">
        <w:t xml:space="preserve"> </w:t>
      </w:r>
      <w:proofErr w:type="spellStart"/>
      <w:r w:rsidRPr="00904A2A">
        <w:t>work</w:t>
      </w:r>
      <w:proofErr w:type="spellEnd"/>
      <w:r w:rsidRPr="00904A2A">
        <w:t xml:space="preserve"> </w:t>
      </w:r>
      <w:proofErr w:type="spellStart"/>
      <w:r w:rsidRPr="00904A2A">
        <w:t>placements</w:t>
      </w:r>
      <w:proofErr w:type="spellEnd"/>
      <w:r w:rsidR="009122FE">
        <w:t xml:space="preserve"> (viktad 19 procent)</w:t>
      </w:r>
      <w:r>
        <w:t xml:space="preserve">. </w:t>
      </w:r>
      <w:r w:rsidR="004974B8">
        <w:t xml:space="preserve">Beträffande indikatorn </w:t>
      </w:r>
      <w:r w:rsidR="004974B8" w:rsidRPr="004974B8">
        <w:t xml:space="preserve">Proportion of </w:t>
      </w:r>
      <w:proofErr w:type="spellStart"/>
      <w:r w:rsidR="004974B8" w:rsidRPr="004974B8">
        <w:t>employees</w:t>
      </w:r>
      <w:proofErr w:type="spellEnd"/>
      <w:r w:rsidR="004974B8" w:rsidRPr="004974B8">
        <w:t xml:space="preserve"> on </w:t>
      </w:r>
      <w:proofErr w:type="spellStart"/>
      <w:r w:rsidR="004974B8" w:rsidRPr="004974B8">
        <w:t>secure</w:t>
      </w:r>
      <w:proofErr w:type="spellEnd"/>
      <w:r w:rsidR="004974B8" w:rsidRPr="004974B8">
        <w:t xml:space="preserve"> </w:t>
      </w:r>
      <w:proofErr w:type="spellStart"/>
      <w:r w:rsidR="004974B8" w:rsidRPr="004974B8">
        <w:t>contracts</w:t>
      </w:r>
      <w:proofErr w:type="spellEnd"/>
      <w:r w:rsidR="004974B8" w:rsidRPr="004974B8">
        <w:t xml:space="preserve"> (</w:t>
      </w:r>
      <w:r w:rsidR="004974B8">
        <w:t xml:space="preserve">viktad </w:t>
      </w:r>
      <w:r w:rsidR="004974B8" w:rsidRPr="004974B8">
        <w:t>19</w:t>
      </w:r>
      <w:r w:rsidR="00535088">
        <w:t xml:space="preserve"> procent</w:t>
      </w:r>
      <w:r w:rsidR="004974B8" w:rsidRPr="004974B8">
        <w:t>)</w:t>
      </w:r>
      <w:r w:rsidR="004974B8">
        <w:t xml:space="preserve"> ligger vi på samma nivå som </w:t>
      </w:r>
      <w:r w:rsidR="002F1FFA">
        <w:t xml:space="preserve">vid </w:t>
      </w:r>
      <w:r w:rsidR="004974B8">
        <w:t xml:space="preserve">föregående mätning. </w:t>
      </w:r>
      <w:r w:rsidR="00AE3A14">
        <w:t xml:space="preserve">År </w:t>
      </w:r>
      <w:r>
        <w:t xml:space="preserve">2019 var Göteborg </w:t>
      </w:r>
      <w:r w:rsidR="001A1D5E">
        <w:t>ranka</w:t>
      </w:r>
      <w:r w:rsidR="00AE3A14">
        <w:t>t</w:t>
      </w:r>
      <w:r>
        <w:t xml:space="preserve"> som 101-200 inom denna SDG, i år är de </w:t>
      </w:r>
      <w:r w:rsidR="006B1F59">
        <w:t xml:space="preserve">däremot </w:t>
      </w:r>
      <w:r w:rsidR="001A1D5E">
        <w:t>ranka</w:t>
      </w:r>
      <w:r w:rsidR="00AE3A14">
        <w:t>t</w:t>
      </w:r>
      <w:r>
        <w:t xml:space="preserve"> som </w:t>
      </w:r>
      <w:r w:rsidRPr="00033FB6">
        <w:t>n</w:t>
      </w:r>
      <w:r w:rsidR="001A1D5E" w:rsidRPr="00033FB6">
        <w:t xml:space="preserve">r </w:t>
      </w:r>
      <w:r w:rsidR="00033FB6" w:rsidRPr="00033FB6">
        <w:t>19</w:t>
      </w:r>
      <w:r w:rsidR="001A1D5E">
        <w:t xml:space="preserve"> och gick sålunda om KTH. En</w:t>
      </w:r>
      <w:r>
        <w:t xml:space="preserve"> </w:t>
      </w:r>
      <w:r w:rsidR="001A1D5E">
        <w:t>annan</w:t>
      </w:r>
      <w:r>
        <w:t xml:space="preserve"> faktor </w:t>
      </w:r>
      <w:r w:rsidR="006B1F59">
        <w:t>bakom</w:t>
      </w:r>
      <w:r>
        <w:t xml:space="preserve"> nedgången </w:t>
      </w:r>
      <w:r w:rsidR="003F6A88">
        <w:t>är</w:t>
      </w:r>
      <w:r w:rsidR="008F5D9B">
        <w:t xml:space="preserve"> </w:t>
      </w:r>
      <w:r>
        <w:t xml:space="preserve">att fler universitet </w:t>
      </w:r>
      <w:r w:rsidR="001A1D5E">
        <w:t>rapporterat</w:t>
      </w:r>
      <w:r>
        <w:t xml:space="preserve"> in data. </w:t>
      </w:r>
    </w:p>
    <w:p w:rsidR="002C2AE7" w:rsidRDefault="002C2AE7" w:rsidP="00435F5F">
      <w:pPr>
        <w:pStyle w:val="Brdtext"/>
      </w:pPr>
    </w:p>
    <w:p w:rsidR="002C2AE7" w:rsidRDefault="00156524" w:rsidP="002C2AE7">
      <w:pPr>
        <w:pStyle w:val="Rubrik2"/>
      </w:pPr>
      <w:bookmarkStart w:id="3" w:name="_Toc52351571"/>
      <w:r>
        <w:lastRenderedPageBreak/>
        <w:t>Förslag till å</w:t>
      </w:r>
      <w:r w:rsidR="002C2AE7">
        <w:t>tgärder</w:t>
      </w:r>
      <w:r>
        <w:t xml:space="preserve"> uppdelat per SDG där KTH inlämnat material</w:t>
      </w:r>
      <w:bookmarkEnd w:id="3"/>
    </w:p>
    <w:p w:rsidR="0036529B" w:rsidRDefault="0036529B" w:rsidP="0036529B">
      <w:pPr>
        <w:pStyle w:val="Brdtext"/>
      </w:pPr>
      <w:r>
        <w:t>Nedan redovisas mycket bra resultat i grön färg (mer än 80 poäng), relativt bra resultat i gult (40-80 poäng) och svaga resultat i rött (0-40 poäng).</w:t>
      </w:r>
    </w:p>
    <w:p w:rsidR="0036529B" w:rsidRPr="0036529B" w:rsidRDefault="0036529B" w:rsidP="0036529B">
      <w:pPr>
        <w:pStyle w:val="Brdtext"/>
      </w:pPr>
    </w:p>
    <w:p w:rsidR="00324325" w:rsidRPr="00285443" w:rsidRDefault="00324325" w:rsidP="000C272F">
      <w:pPr>
        <w:pStyle w:val="Rubrik3"/>
      </w:pPr>
      <w:bookmarkStart w:id="4" w:name="_Toc52351572"/>
      <w:r w:rsidRPr="00285443">
        <w:t xml:space="preserve">SDG4 </w:t>
      </w:r>
      <w:proofErr w:type="spellStart"/>
      <w:r w:rsidRPr="00285443">
        <w:t>Quality</w:t>
      </w:r>
      <w:proofErr w:type="spellEnd"/>
      <w:r w:rsidRPr="00285443">
        <w:t xml:space="preserve"> </w:t>
      </w:r>
      <w:proofErr w:type="spellStart"/>
      <w:r w:rsidRPr="00285443">
        <w:t>Education</w:t>
      </w:r>
      <w:bookmarkEnd w:id="4"/>
      <w:proofErr w:type="spellEnd"/>
    </w:p>
    <w:tbl>
      <w:tblPr>
        <w:tblStyle w:val="Tabellrutnt"/>
        <w:tblW w:w="0" w:type="auto"/>
        <w:tblLook w:val="04A0" w:firstRow="1" w:lastRow="0" w:firstColumn="1" w:lastColumn="0" w:noHBand="0" w:noVBand="1"/>
      </w:tblPr>
      <w:tblGrid>
        <w:gridCol w:w="3909"/>
        <w:gridCol w:w="1723"/>
        <w:gridCol w:w="920"/>
        <w:gridCol w:w="1814"/>
      </w:tblGrid>
      <w:tr w:rsidR="001A24C6" w:rsidRPr="00324325" w:rsidTr="001A24C6">
        <w:trPr>
          <w:trHeight w:val="315"/>
        </w:trPr>
        <w:tc>
          <w:tcPr>
            <w:tcW w:w="3909" w:type="dxa"/>
            <w:noWrap/>
          </w:tcPr>
          <w:p w:rsidR="001A24C6" w:rsidRPr="001A24C6" w:rsidRDefault="001A24C6" w:rsidP="00324325">
            <w:pPr>
              <w:pStyle w:val="Brdtext"/>
              <w:rPr>
                <w:b/>
                <w:lang w:val="en-US"/>
              </w:rPr>
            </w:pPr>
            <w:proofErr w:type="spellStart"/>
            <w:r w:rsidRPr="001A24C6">
              <w:rPr>
                <w:b/>
                <w:lang w:val="en-US"/>
              </w:rPr>
              <w:t>Indikator</w:t>
            </w:r>
            <w:proofErr w:type="spellEnd"/>
          </w:p>
        </w:tc>
        <w:tc>
          <w:tcPr>
            <w:tcW w:w="1723" w:type="dxa"/>
            <w:noWrap/>
          </w:tcPr>
          <w:p w:rsidR="001A24C6" w:rsidRPr="001A24C6" w:rsidRDefault="001A24C6" w:rsidP="00324325">
            <w:pPr>
              <w:pStyle w:val="Brdtext"/>
              <w:rPr>
                <w:b/>
              </w:rPr>
            </w:pPr>
            <w:r w:rsidRPr="001A24C6">
              <w:rPr>
                <w:b/>
              </w:rPr>
              <w:t xml:space="preserve">Viktning </w:t>
            </w:r>
          </w:p>
        </w:tc>
        <w:tc>
          <w:tcPr>
            <w:tcW w:w="920" w:type="dxa"/>
            <w:noWrap/>
          </w:tcPr>
          <w:p w:rsidR="001A24C6" w:rsidRPr="001A24C6" w:rsidRDefault="001A24C6" w:rsidP="00324325">
            <w:pPr>
              <w:pStyle w:val="Brdtext"/>
              <w:rPr>
                <w:b/>
              </w:rPr>
            </w:pPr>
            <w:r w:rsidRPr="001A24C6">
              <w:rPr>
                <w:b/>
              </w:rPr>
              <w:t xml:space="preserve">Poäng </w:t>
            </w:r>
          </w:p>
        </w:tc>
        <w:tc>
          <w:tcPr>
            <w:tcW w:w="1814" w:type="dxa"/>
            <w:noWrap/>
          </w:tcPr>
          <w:p w:rsidR="0053219A" w:rsidRPr="001A24C6" w:rsidRDefault="001A24C6" w:rsidP="00324325">
            <w:pPr>
              <w:pStyle w:val="Brdtext"/>
              <w:rPr>
                <w:b/>
              </w:rPr>
            </w:pPr>
            <w:r w:rsidRPr="001A24C6">
              <w:rPr>
                <w:b/>
              </w:rPr>
              <w:t>Rank för SDG</w:t>
            </w:r>
            <w:r w:rsidR="0053219A">
              <w:rPr>
                <w:b/>
              </w:rPr>
              <w:t>/ kommentar</w:t>
            </w:r>
          </w:p>
        </w:tc>
      </w:tr>
      <w:tr w:rsidR="00324325" w:rsidRPr="00324325" w:rsidTr="001A24C6">
        <w:trPr>
          <w:trHeight w:val="315"/>
        </w:trPr>
        <w:tc>
          <w:tcPr>
            <w:tcW w:w="3909" w:type="dxa"/>
            <w:noWrap/>
            <w:hideMark/>
          </w:tcPr>
          <w:p w:rsidR="00E80EDC" w:rsidRPr="008E44BF" w:rsidRDefault="00324325" w:rsidP="00E80EDC">
            <w:pPr>
              <w:pStyle w:val="Brdtext"/>
              <w:rPr>
                <w:b/>
                <w:highlight w:val="green"/>
                <w:lang w:val="en-US"/>
              </w:rPr>
            </w:pPr>
            <w:r w:rsidRPr="008E44BF">
              <w:rPr>
                <w:b/>
                <w:highlight w:val="green"/>
                <w:lang w:val="en-US"/>
              </w:rPr>
              <w:t>Research on early years and lifelong learning education</w:t>
            </w:r>
            <w:r w:rsidR="00E80EDC" w:rsidRPr="008E44BF">
              <w:rPr>
                <w:b/>
                <w:highlight w:val="green"/>
                <w:lang w:val="en-US"/>
              </w:rPr>
              <w:t xml:space="preserve">: </w:t>
            </w:r>
          </w:p>
          <w:p w:rsidR="008E44BF" w:rsidRDefault="00E80EDC" w:rsidP="00E80EDC">
            <w:pPr>
              <w:pStyle w:val="Brdtext"/>
              <w:rPr>
                <w:highlight w:val="green"/>
                <w:lang w:val="en-US"/>
              </w:rPr>
            </w:pPr>
            <w:r w:rsidRPr="00E80EDC">
              <w:rPr>
                <w:highlight w:val="green"/>
                <w:lang w:val="en-US"/>
              </w:rPr>
              <w:t xml:space="preserve">Proportion of research papers that </w:t>
            </w:r>
            <w:proofErr w:type="gramStart"/>
            <w:r w:rsidRPr="00E80EDC">
              <w:rPr>
                <w:highlight w:val="green"/>
                <w:lang w:val="en-US"/>
              </w:rPr>
              <w:t>are viewed</w:t>
            </w:r>
            <w:proofErr w:type="gramEnd"/>
            <w:r w:rsidRPr="00E80EDC">
              <w:rPr>
                <w:highlight w:val="green"/>
                <w:lang w:val="en-US"/>
              </w:rPr>
              <w:t xml:space="preserve"> or downloaded (10%)</w:t>
            </w:r>
          </w:p>
          <w:p w:rsidR="008E44BF" w:rsidRDefault="00E80EDC" w:rsidP="00E80EDC">
            <w:pPr>
              <w:pStyle w:val="Brdtext"/>
              <w:rPr>
                <w:highlight w:val="green"/>
                <w:lang w:val="en-US"/>
              </w:rPr>
            </w:pPr>
            <w:r w:rsidRPr="00E80EDC">
              <w:rPr>
                <w:highlight w:val="green"/>
                <w:lang w:val="en-US"/>
              </w:rPr>
              <w:t xml:space="preserve">Proportion of research papers in the top 10 per cent of journals as defined by </w:t>
            </w:r>
            <w:proofErr w:type="spellStart"/>
            <w:r w:rsidRPr="00E80EDC">
              <w:rPr>
                <w:highlight w:val="green"/>
                <w:lang w:val="en-US"/>
              </w:rPr>
              <w:t>Citescore</w:t>
            </w:r>
            <w:proofErr w:type="spellEnd"/>
            <w:r w:rsidRPr="00E80EDC">
              <w:rPr>
                <w:highlight w:val="green"/>
                <w:lang w:val="en-US"/>
              </w:rPr>
              <w:t xml:space="preserve"> (10%)</w:t>
            </w:r>
          </w:p>
          <w:p w:rsidR="00324325" w:rsidRPr="00E80EDC" w:rsidRDefault="00E80EDC" w:rsidP="00E80EDC">
            <w:pPr>
              <w:pStyle w:val="Brdtext"/>
              <w:rPr>
                <w:highlight w:val="green"/>
                <w:lang w:val="en-US"/>
              </w:rPr>
            </w:pPr>
            <w:r w:rsidRPr="00E80EDC">
              <w:rPr>
                <w:highlight w:val="green"/>
                <w:lang w:val="en-US"/>
              </w:rPr>
              <w:t>Number of publications (7%)</w:t>
            </w:r>
          </w:p>
        </w:tc>
        <w:tc>
          <w:tcPr>
            <w:tcW w:w="1723" w:type="dxa"/>
            <w:noWrap/>
            <w:hideMark/>
          </w:tcPr>
          <w:p w:rsidR="00324325" w:rsidRPr="0053219A" w:rsidRDefault="00324325" w:rsidP="00324325">
            <w:pPr>
              <w:pStyle w:val="Brdtext"/>
              <w:rPr>
                <w:b/>
                <w:highlight w:val="green"/>
              </w:rPr>
            </w:pPr>
            <w:r w:rsidRPr="0053219A">
              <w:rPr>
                <w:b/>
                <w:highlight w:val="green"/>
              </w:rPr>
              <w:t>27</w:t>
            </w:r>
            <w:r w:rsidR="00D23800" w:rsidRPr="0053219A">
              <w:rPr>
                <w:b/>
                <w:highlight w:val="green"/>
              </w:rPr>
              <w:t>%</w:t>
            </w:r>
          </w:p>
        </w:tc>
        <w:tc>
          <w:tcPr>
            <w:tcW w:w="920" w:type="dxa"/>
            <w:noWrap/>
            <w:hideMark/>
          </w:tcPr>
          <w:p w:rsidR="00324325" w:rsidRPr="0053219A" w:rsidRDefault="00324325" w:rsidP="00324325">
            <w:pPr>
              <w:pStyle w:val="Brdtext"/>
              <w:rPr>
                <w:b/>
                <w:highlight w:val="green"/>
              </w:rPr>
            </w:pPr>
            <w:r w:rsidRPr="0053219A">
              <w:rPr>
                <w:b/>
                <w:highlight w:val="green"/>
              </w:rPr>
              <w:t>80.5</w:t>
            </w:r>
          </w:p>
          <w:p w:rsidR="0057037E" w:rsidRDefault="0057037E" w:rsidP="00324325">
            <w:pPr>
              <w:pStyle w:val="Brdtext"/>
            </w:pPr>
          </w:p>
          <w:p w:rsidR="005A0577" w:rsidRPr="005A0577" w:rsidRDefault="005A0577" w:rsidP="00324325">
            <w:pPr>
              <w:pStyle w:val="Brdtext"/>
            </w:pPr>
            <w:r w:rsidRPr="001B464D">
              <w:rPr>
                <w:highlight w:val="yellow"/>
              </w:rPr>
              <w:t>7</w:t>
            </w:r>
            <w:r w:rsidR="0057037E" w:rsidRPr="001B464D">
              <w:rPr>
                <w:highlight w:val="yellow"/>
              </w:rPr>
              <w:t>1.2</w:t>
            </w:r>
          </w:p>
          <w:p w:rsidR="005A0577" w:rsidRPr="005A0577" w:rsidRDefault="005A0577" w:rsidP="00324325">
            <w:pPr>
              <w:pStyle w:val="Brdtext"/>
            </w:pPr>
            <w:r w:rsidRPr="00AF04BE">
              <w:rPr>
                <w:highlight w:val="green"/>
              </w:rPr>
              <w:t>100</w:t>
            </w:r>
          </w:p>
          <w:p w:rsidR="005A0577" w:rsidRPr="005A0577" w:rsidRDefault="005A0577" w:rsidP="00324325">
            <w:pPr>
              <w:pStyle w:val="Brdtext"/>
            </w:pPr>
          </w:p>
          <w:p w:rsidR="005A0577" w:rsidRPr="00E80EDC" w:rsidRDefault="0057037E" w:rsidP="00324325">
            <w:pPr>
              <w:pStyle w:val="Brdtext"/>
              <w:rPr>
                <w:highlight w:val="green"/>
              </w:rPr>
            </w:pPr>
            <w:r w:rsidRPr="001B464D">
              <w:rPr>
                <w:highlight w:val="yellow"/>
              </w:rPr>
              <w:t>64.</w:t>
            </w:r>
            <w:r w:rsidR="005A0577" w:rsidRPr="001B464D">
              <w:rPr>
                <w:highlight w:val="yellow"/>
              </w:rPr>
              <w:t>7</w:t>
            </w:r>
          </w:p>
        </w:tc>
        <w:tc>
          <w:tcPr>
            <w:tcW w:w="1814" w:type="dxa"/>
            <w:noWrap/>
            <w:hideMark/>
          </w:tcPr>
          <w:p w:rsidR="00324325" w:rsidRPr="0053219A" w:rsidRDefault="00324325" w:rsidP="00324325">
            <w:pPr>
              <w:pStyle w:val="Brdtext"/>
              <w:rPr>
                <w:b/>
              </w:rPr>
            </w:pPr>
            <w:r w:rsidRPr="0053219A">
              <w:rPr>
                <w:b/>
              </w:rPr>
              <w:t>301–400</w:t>
            </w:r>
          </w:p>
        </w:tc>
      </w:tr>
      <w:tr w:rsidR="00324325" w:rsidRPr="00324325" w:rsidTr="001A24C6">
        <w:trPr>
          <w:trHeight w:val="315"/>
        </w:trPr>
        <w:tc>
          <w:tcPr>
            <w:tcW w:w="3909" w:type="dxa"/>
            <w:noWrap/>
            <w:hideMark/>
          </w:tcPr>
          <w:p w:rsidR="00324325" w:rsidRPr="008E44BF" w:rsidRDefault="00324325" w:rsidP="00324325">
            <w:pPr>
              <w:pStyle w:val="Brdtext"/>
              <w:rPr>
                <w:b/>
                <w:highlight w:val="red"/>
                <w:lang w:val="en-US"/>
              </w:rPr>
            </w:pPr>
            <w:r w:rsidRPr="006555B8">
              <w:rPr>
                <w:b/>
                <w:highlight w:val="red"/>
                <w:lang w:val="en-US"/>
              </w:rPr>
              <w:t>Proportion of graduates with teaching qualification</w:t>
            </w:r>
          </w:p>
        </w:tc>
        <w:tc>
          <w:tcPr>
            <w:tcW w:w="1723" w:type="dxa"/>
            <w:noWrap/>
            <w:hideMark/>
          </w:tcPr>
          <w:p w:rsidR="00324325" w:rsidRPr="0053219A" w:rsidRDefault="00324325" w:rsidP="00324325">
            <w:pPr>
              <w:pStyle w:val="Brdtext"/>
              <w:rPr>
                <w:b/>
                <w:highlight w:val="red"/>
              </w:rPr>
            </w:pPr>
            <w:r w:rsidRPr="0053219A">
              <w:rPr>
                <w:b/>
                <w:highlight w:val="red"/>
              </w:rPr>
              <w:t>15.4</w:t>
            </w:r>
            <w:r w:rsidR="00D23800" w:rsidRPr="0053219A">
              <w:rPr>
                <w:b/>
                <w:highlight w:val="red"/>
              </w:rPr>
              <w:t>%</w:t>
            </w:r>
          </w:p>
        </w:tc>
        <w:tc>
          <w:tcPr>
            <w:tcW w:w="920" w:type="dxa"/>
            <w:noWrap/>
            <w:hideMark/>
          </w:tcPr>
          <w:p w:rsidR="00324325" w:rsidRPr="0053219A" w:rsidRDefault="00324325" w:rsidP="00324325">
            <w:pPr>
              <w:pStyle w:val="Brdtext"/>
              <w:rPr>
                <w:b/>
                <w:highlight w:val="red"/>
              </w:rPr>
            </w:pPr>
            <w:r w:rsidRPr="0053219A">
              <w:rPr>
                <w:b/>
                <w:highlight w:val="red"/>
              </w:rPr>
              <w:t>0</w:t>
            </w:r>
          </w:p>
        </w:tc>
        <w:tc>
          <w:tcPr>
            <w:tcW w:w="1814" w:type="dxa"/>
            <w:noWrap/>
          </w:tcPr>
          <w:p w:rsidR="00324325" w:rsidRPr="00324325" w:rsidRDefault="00324325" w:rsidP="00324325">
            <w:pPr>
              <w:pStyle w:val="Brdtext"/>
            </w:pPr>
          </w:p>
        </w:tc>
      </w:tr>
      <w:tr w:rsidR="00324325" w:rsidRPr="00324325" w:rsidTr="001A24C6">
        <w:trPr>
          <w:trHeight w:val="315"/>
        </w:trPr>
        <w:tc>
          <w:tcPr>
            <w:tcW w:w="3909" w:type="dxa"/>
            <w:noWrap/>
            <w:hideMark/>
          </w:tcPr>
          <w:p w:rsidR="00324325" w:rsidRPr="00187448" w:rsidRDefault="00324325" w:rsidP="00E80EDC">
            <w:pPr>
              <w:pStyle w:val="Brdtext"/>
              <w:rPr>
                <w:b/>
                <w:highlight w:val="yellow"/>
                <w:lang w:val="en-US"/>
              </w:rPr>
            </w:pPr>
            <w:r w:rsidRPr="00187448">
              <w:rPr>
                <w:b/>
                <w:highlight w:val="yellow"/>
                <w:lang w:val="en-US"/>
              </w:rPr>
              <w:t>Lifelong learning measures</w:t>
            </w:r>
          </w:p>
          <w:p w:rsidR="00B51097" w:rsidRPr="00823CB2" w:rsidRDefault="00E80EDC" w:rsidP="00E80EDC">
            <w:pPr>
              <w:pStyle w:val="Brdtext"/>
              <w:rPr>
                <w:rFonts w:ascii="&amp;quot" w:eastAsia="Times New Roman" w:hAnsi="&amp;quot" w:cs="Times New Roman"/>
                <w:sz w:val="24"/>
                <w:szCs w:val="24"/>
                <w:highlight w:val="green"/>
                <w:lang w:val="en-US" w:eastAsia="sv-SE"/>
              </w:rPr>
            </w:pPr>
            <w:r w:rsidRPr="00823CB2">
              <w:rPr>
                <w:rFonts w:ascii="&amp;quot" w:eastAsia="Times New Roman" w:hAnsi="&amp;quot" w:cs="Times New Roman"/>
                <w:sz w:val="24"/>
                <w:szCs w:val="24"/>
                <w:highlight w:val="green"/>
                <w:lang w:val="en-US" w:eastAsia="sv-SE"/>
              </w:rPr>
              <w:t xml:space="preserve">Access to educational resources for those not studying at the university (5%) </w:t>
            </w:r>
          </w:p>
          <w:p w:rsidR="00B51097" w:rsidRPr="00823CB2" w:rsidRDefault="00E80EDC" w:rsidP="00E80EDC">
            <w:pPr>
              <w:pStyle w:val="Brdtext"/>
              <w:rPr>
                <w:rFonts w:ascii="&amp;quot" w:eastAsia="Times New Roman" w:hAnsi="&amp;quot" w:cs="Times New Roman"/>
                <w:sz w:val="24"/>
                <w:szCs w:val="24"/>
                <w:highlight w:val="green"/>
                <w:lang w:val="en-US" w:eastAsia="sv-SE"/>
              </w:rPr>
            </w:pPr>
            <w:r w:rsidRPr="00823CB2">
              <w:rPr>
                <w:rFonts w:ascii="&amp;quot" w:eastAsia="Times New Roman" w:hAnsi="&amp;quot" w:cs="Times New Roman"/>
                <w:sz w:val="24"/>
                <w:szCs w:val="24"/>
                <w:highlight w:val="green"/>
                <w:lang w:val="en-US" w:eastAsia="sv-SE"/>
              </w:rPr>
              <w:t xml:space="preserve">Educational activities that are open to the </w:t>
            </w:r>
            <w:proofErr w:type="gramStart"/>
            <w:r w:rsidRPr="00823CB2">
              <w:rPr>
                <w:rFonts w:ascii="&amp;quot" w:eastAsia="Times New Roman" w:hAnsi="&amp;quot" w:cs="Times New Roman"/>
                <w:sz w:val="24"/>
                <w:szCs w:val="24"/>
                <w:highlight w:val="green"/>
                <w:lang w:val="en-US" w:eastAsia="sv-SE"/>
              </w:rPr>
              <w:t>general public</w:t>
            </w:r>
            <w:proofErr w:type="gramEnd"/>
            <w:r w:rsidRPr="00823CB2">
              <w:rPr>
                <w:rFonts w:ascii="&amp;quot" w:eastAsia="Times New Roman" w:hAnsi="&amp;quot" w:cs="Times New Roman"/>
                <w:sz w:val="24"/>
                <w:szCs w:val="24"/>
                <w:highlight w:val="green"/>
                <w:lang w:val="en-US" w:eastAsia="sv-SE"/>
              </w:rPr>
              <w:t>, such as lectures or specific educational courses (5%)</w:t>
            </w:r>
          </w:p>
          <w:p w:rsidR="00B51097" w:rsidRPr="00823CB2" w:rsidRDefault="00E80EDC" w:rsidP="00E80EDC">
            <w:pPr>
              <w:pStyle w:val="Brdtext"/>
              <w:rPr>
                <w:rFonts w:ascii="&amp;quot" w:eastAsia="Times New Roman" w:hAnsi="&amp;quot" w:cs="Times New Roman"/>
                <w:sz w:val="24"/>
                <w:szCs w:val="24"/>
                <w:highlight w:val="green"/>
                <w:lang w:val="en-US" w:eastAsia="sv-SE"/>
              </w:rPr>
            </w:pPr>
            <w:r w:rsidRPr="00823CB2">
              <w:rPr>
                <w:rFonts w:ascii="&amp;quot" w:eastAsia="Times New Roman" w:hAnsi="&amp;quot" w:cs="Times New Roman"/>
                <w:sz w:val="24"/>
                <w:szCs w:val="24"/>
                <w:highlight w:val="green"/>
                <w:lang w:val="en-US" w:eastAsia="sv-SE"/>
              </w:rPr>
              <w:t>Educational events that provide vocational training for those not studying at the university (5%)</w:t>
            </w:r>
          </w:p>
          <w:p w:rsidR="00B51097" w:rsidRPr="00823CB2" w:rsidRDefault="00E80EDC" w:rsidP="00E80EDC">
            <w:pPr>
              <w:pStyle w:val="Brdtext"/>
              <w:rPr>
                <w:rFonts w:ascii="&amp;quot" w:eastAsia="Times New Roman" w:hAnsi="&amp;quot" w:cs="Times New Roman"/>
                <w:sz w:val="24"/>
                <w:szCs w:val="24"/>
                <w:highlight w:val="green"/>
                <w:lang w:val="en-US" w:eastAsia="sv-SE"/>
              </w:rPr>
            </w:pPr>
            <w:r w:rsidRPr="00823CB2">
              <w:rPr>
                <w:rFonts w:ascii="&amp;quot" w:eastAsia="Times New Roman" w:hAnsi="&amp;quot" w:cs="Times New Roman"/>
                <w:sz w:val="24"/>
                <w:szCs w:val="24"/>
                <w:highlight w:val="green"/>
                <w:lang w:val="en-US" w:eastAsia="sv-SE"/>
              </w:rPr>
              <w:t>Educational outreach activities in the local community, including schools (5%)</w:t>
            </w:r>
          </w:p>
          <w:p w:rsidR="00E80EDC" w:rsidRPr="00E80EDC" w:rsidRDefault="00E80EDC" w:rsidP="00E80EDC">
            <w:pPr>
              <w:pStyle w:val="Brdtext"/>
              <w:rPr>
                <w:rFonts w:ascii="&amp;quot" w:eastAsia="Times New Roman" w:hAnsi="&amp;quot" w:cs="Times New Roman"/>
                <w:sz w:val="24"/>
                <w:szCs w:val="24"/>
                <w:highlight w:val="yellow"/>
                <w:lang w:val="en-US" w:eastAsia="sv-SE"/>
              </w:rPr>
            </w:pPr>
            <w:r w:rsidRPr="00823CB2">
              <w:rPr>
                <w:rFonts w:ascii="&amp;quot" w:eastAsia="Times New Roman" w:hAnsi="&amp;quot" w:cs="Times New Roman"/>
                <w:sz w:val="24"/>
                <w:szCs w:val="24"/>
                <w:highlight w:val="red"/>
                <w:lang w:val="en-US" w:eastAsia="sv-SE"/>
              </w:rPr>
              <w:t>Policy to ensure that these activities are open to all (6.8%)</w:t>
            </w:r>
          </w:p>
        </w:tc>
        <w:tc>
          <w:tcPr>
            <w:tcW w:w="1723" w:type="dxa"/>
            <w:noWrap/>
            <w:hideMark/>
          </w:tcPr>
          <w:p w:rsidR="00324325" w:rsidRPr="0053219A" w:rsidRDefault="00324325" w:rsidP="00324325">
            <w:pPr>
              <w:pStyle w:val="Brdtext"/>
              <w:rPr>
                <w:b/>
                <w:highlight w:val="yellow"/>
              </w:rPr>
            </w:pPr>
            <w:r w:rsidRPr="0053219A">
              <w:rPr>
                <w:b/>
                <w:highlight w:val="yellow"/>
              </w:rPr>
              <w:t>26.8</w:t>
            </w:r>
            <w:r w:rsidR="00D23800" w:rsidRPr="0053219A">
              <w:rPr>
                <w:b/>
                <w:highlight w:val="yellow"/>
              </w:rPr>
              <w:t>%</w:t>
            </w:r>
          </w:p>
          <w:p w:rsidR="005A0577" w:rsidRPr="008726EC" w:rsidRDefault="005A0577" w:rsidP="00324325">
            <w:pPr>
              <w:pStyle w:val="Brdtext"/>
              <w:rPr>
                <w:highlight w:val="yellow"/>
              </w:rPr>
            </w:pPr>
          </w:p>
        </w:tc>
        <w:tc>
          <w:tcPr>
            <w:tcW w:w="920" w:type="dxa"/>
            <w:noWrap/>
            <w:hideMark/>
          </w:tcPr>
          <w:p w:rsidR="00324325" w:rsidRPr="0053219A" w:rsidRDefault="00324325" w:rsidP="00324325">
            <w:pPr>
              <w:pStyle w:val="Brdtext"/>
              <w:rPr>
                <w:b/>
                <w:highlight w:val="yellow"/>
              </w:rPr>
            </w:pPr>
            <w:r w:rsidRPr="0053219A">
              <w:rPr>
                <w:b/>
                <w:highlight w:val="yellow"/>
              </w:rPr>
              <w:t>70</w:t>
            </w:r>
          </w:p>
          <w:p w:rsidR="005A0577" w:rsidRPr="00AF04BE" w:rsidRDefault="005A0577" w:rsidP="00324325">
            <w:pPr>
              <w:pStyle w:val="Brdtext"/>
              <w:rPr>
                <w:highlight w:val="green"/>
              </w:rPr>
            </w:pPr>
            <w:r w:rsidRPr="00AF04BE">
              <w:rPr>
                <w:highlight w:val="green"/>
              </w:rPr>
              <w:t>100</w:t>
            </w:r>
          </w:p>
          <w:p w:rsidR="005A0577" w:rsidRPr="00AF04BE" w:rsidRDefault="005A0577" w:rsidP="00324325">
            <w:pPr>
              <w:pStyle w:val="Brdtext"/>
              <w:rPr>
                <w:highlight w:val="green"/>
              </w:rPr>
            </w:pPr>
          </w:p>
          <w:p w:rsidR="005A0577" w:rsidRPr="00AF04BE" w:rsidRDefault="0057037E" w:rsidP="00324325">
            <w:pPr>
              <w:pStyle w:val="Brdtext"/>
              <w:rPr>
                <w:highlight w:val="green"/>
              </w:rPr>
            </w:pPr>
            <w:r w:rsidRPr="00AF04BE">
              <w:rPr>
                <w:highlight w:val="green"/>
              </w:rPr>
              <w:t>91.</w:t>
            </w:r>
            <w:r w:rsidR="005A0577" w:rsidRPr="00AF04BE">
              <w:rPr>
                <w:highlight w:val="green"/>
              </w:rPr>
              <w:t>7</w:t>
            </w:r>
          </w:p>
          <w:p w:rsidR="005A0577" w:rsidRPr="00AF04BE" w:rsidRDefault="005A0577" w:rsidP="00324325">
            <w:pPr>
              <w:pStyle w:val="Brdtext"/>
              <w:rPr>
                <w:highlight w:val="green"/>
              </w:rPr>
            </w:pPr>
          </w:p>
          <w:p w:rsidR="005A0577" w:rsidRPr="00AF04BE" w:rsidRDefault="0057037E" w:rsidP="00324325">
            <w:pPr>
              <w:pStyle w:val="Brdtext"/>
              <w:rPr>
                <w:highlight w:val="green"/>
              </w:rPr>
            </w:pPr>
            <w:r w:rsidRPr="00AF04BE">
              <w:rPr>
                <w:highlight w:val="green"/>
              </w:rPr>
              <w:t>91.</w:t>
            </w:r>
            <w:r w:rsidR="005A0577" w:rsidRPr="00AF04BE">
              <w:rPr>
                <w:highlight w:val="green"/>
              </w:rPr>
              <w:t>7</w:t>
            </w:r>
          </w:p>
          <w:p w:rsidR="005A0577" w:rsidRDefault="005A0577" w:rsidP="00324325">
            <w:pPr>
              <w:pStyle w:val="Brdtext"/>
              <w:rPr>
                <w:highlight w:val="green"/>
              </w:rPr>
            </w:pPr>
          </w:p>
          <w:p w:rsidR="001B464D" w:rsidRPr="00AF04BE" w:rsidRDefault="001B464D" w:rsidP="00324325">
            <w:pPr>
              <w:pStyle w:val="Brdtext"/>
              <w:rPr>
                <w:highlight w:val="green"/>
              </w:rPr>
            </w:pPr>
          </w:p>
          <w:p w:rsidR="005A0577" w:rsidRPr="005A0577" w:rsidRDefault="0057037E" w:rsidP="00324325">
            <w:pPr>
              <w:pStyle w:val="Brdtext"/>
            </w:pPr>
            <w:r w:rsidRPr="00AF04BE">
              <w:rPr>
                <w:highlight w:val="green"/>
              </w:rPr>
              <w:t>91.</w:t>
            </w:r>
            <w:r w:rsidR="005A0577" w:rsidRPr="00AF04BE">
              <w:rPr>
                <w:highlight w:val="green"/>
              </w:rPr>
              <w:t>7</w:t>
            </w:r>
          </w:p>
          <w:p w:rsidR="0057037E" w:rsidRPr="005A0577" w:rsidRDefault="0057037E" w:rsidP="00324325">
            <w:pPr>
              <w:pStyle w:val="Brdtext"/>
            </w:pPr>
          </w:p>
          <w:p w:rsidR="005A0577" w:rsidRPr="008726EC" w:rsidRDefault="005A0577" w:rsidP="00324325">
            <w:pPr>
              <w:pStyle w:val="Brdtext"/>
              <w:rPr>
                <w:highlight w:val="yellow"/>
              </w:rPr>
            </w:pPr>
            <w:r w:rsidRPr="00672796">
              <w:rPr>
                <w:highlight w:val="red"/>
              </w:rPr>
              <w:t>NA</w:t>
            </w:r>
          </w:p>
        </w:tc>
        <w:tc>
          <w:tcPr>
            <w:tcW w:w="1814" w:type="dxa"/>
            <w:noWrap/>
          </w:tcPr>
          <w:p w:rsidR="00324325" w:rsidRPr="00324325" w:rsidRDefault="00324325" w:rsidP="00324325">
            <w:pPr>
              <w:pStyle w:val="Brdtext"/>
            </w:pPr>
          </w:p>
        </w:tc>
      </w:tr>
      <w:tr w:rsidR="00324325" w:rsidRPr="00324325" w:rsidTr="001A24C6">
        <w:trPr>
          <w:trHeight w:val="315"/>
        </w:trPr>
        <w:tc>
          <w:tcPr>
            <w:tcW w:w="3909" w:type="dxa"/>
            <w:noWrap/>
            <w:hideMark/>
          </w:tcPr>
          <w:p w:rsidR="00324325" w:rsidRPr="008E44BF" w:rsidRDefault="00324325" w:rsidP="00324325">
            <w:pPr>
              <w:pStyle w:val="Brdtext"/>
              <w:rPr>
                <w:b/>
                <w:highlight w:val="red"/>
                <w:lang w:val="en-US"/>
              </w:rPr>
            </w:pPr>
            <w:r w:rsidRPr="008E44BF">
              <w:rPr>
                <w:b/>
                <w:highlight w:val="red"/>
                <w:lang w:val="en-US"/>
              </w:rPr>
              <w:t>Proportion of first-generation students</w:t>
            </w:r>
          </w:p>
        </w:tc>
        <w:tc>
          <w:tcPr>
            <w:tcW w:w="1723" w:type="dxa"/>
            <w:noWrap/>
            <w:hideMark/>
          </w:tcPr>
          <w:p w:rsidR="00324325" w:rsidRPr="0053219A" w:rsidRDefault="00324325" w:rsidP="00324325">
            <w:pPr>
              <w:pStyle w:val="Brdtext"/>
              <w:rPr>
                <w:b/>
                <w:highlight w:val="red"/>
              </w:rPr>
            </w:pPr>
            <w:r w:rsidRPr="0053219A">
              <w:rPr>
                <w:b/>
                <w:highlight w:val="red"/>
              </w:rPr>
              <w:t>30.8</w:t>
            </w:r>
            <w:r w:rsidR="00D23800" w:rsidRPr="0053219A">
              <w:rPr>
                <w:b/>
                <w:highlight w:val="red"/>
              </w:rPr>
              <w:t>%</w:t>
            </w:r>
          </w:p>
        </w:tc>
        <w:tc>
          <w:tcPr>
            <w:tcW w:w="920" w:type="dxa"/>
            <w:noWrap/>
            <w:hideMark/>
          </w:tcPr>
          <w:p w:rsidR="00324325" w:rsidRPr="0053219A" w:rsidRDefault="00324325" w:rsidP="00324325">
            <w:pPr>
              <w:pStyle w:val="Brdtext"/>
              <w:rPr>
                <w:b/>
                <w:highlight w:val="red"/>
              </w:rPr>
            </w:pPr>
            <w:r w:rsidRPr="0053219A">
              <w:rPr>
                <w:b/>
                <w:highlight w:val="red"/>
              </w:rPr>
              <w:t>23.6</w:t>
            </w:r>
          </w:p>
        </w:tc>
        <w:tc>
          <w:tcPr>
            <w:tcW w:w="1814" w:type="dxa"/>
            <w:noWrap/>
          </w:tcPr>
          <w:p w:rsidR="00324325" w:rsidRPr="00324325" w:rsidRDefault="00324325" w:rsidP="00324325">
            <w:pPr>
              <w:pStyle w:val="Brdtext"/>
            </w:pPr>
          </w:p>
        </w:tc>
      </w:tr>
    </w:tbl>
    <w:p w:rsidR="00324325" w:rsidRDefault="00324325" w:rsidP="00324325">
      <w:pPr>
        <w:pStyle w:val="Brdtext"/>
      </w:pPr>
    </w:p>
    <w:p w:rsidR="008A3325" w:rsidRDefault="008A7489" w:rsidP="00324325">
      <w:pPr>
        <w:pStyle w:val="Brdtext"/>
      </w:pPr>
      <w:r>
        <w:lastRenderedPageBreak/>
        <w:t>KTH presterar bra i de</w:t>
      </w:r>
      <w:r w:rsidR="001A24C6">
        <w:t xml:space="preserve"> bibliometriska indikator</w:t>
      </w:r>
      <w:r>
        <w:t>er</w:t>
      </w:r>
      <w:r w:rsidR="001A24C6">
        <w:t xml:space="preserve"> som mäter forskning om lärande </w:t>
      </w:r>
      <w:r w:rsidR="008A3325">
        <w:t xml:space="preserve">samt den </w:t>
      </w:r>
      <w:r w:rsidR="00E64957">
        <w:t xml:space="preserve">indikator </w:t>
      </w:r>
      <w:r w:rsidR="008A3325">
        <w:t>som mäter</w:t>
      </w:r>
      <w:r w:rsidR="001A24C6">
        <w:t xml:space="preserve"> åtgärder för att stimulera livslångt lärande. Emedan KTH inte har någon utbildning som vänder sig mot grundskolan kan vi inte få annat än 0</w:t>
      </w:r>
      <w:r w:rsidR="00616C61">
        <w:t xml:space="preserve"> poäng</w:t>
      </w:r>
      <w:r w:rsidR="008A3325">
        <w:t xml:space="preserve">. </w:t>
      </w:r>
      <w:r w:rsidR="00755C1D">
        <w:t xml:space="preserve">I internationell jämförelse har en </w:t>
      </w:r>
      <w:r w:rsidR="00E64957">
        <w:t xml:space="preserve">hög </w:t>
      </w:r>
      <w:r w:rsidR="00755C1D">
        <w:t>andel av befolkningen i Sverige genomgått en högskoleutbildning, vilket medför att det är svårt att hävda sig inom mått som mäter andelen personer som kommer från hem där ingen av föräldrarna tidigare studerat på universitet eller högskola.</w:t>
      </w:r>
    </w:p>
    <w:p w:rsidR="001A24C6" w:rsidRDefault="001A24C6" w:rsidP="00324325">
      <w:pPr>
        <w:pStyle w:val="Brdtext"/>
      </w:pPr>
      <w:r>
        <w:t xml:space="preserve">Möjligheten att prestera bättre inom denna </w:t>
      </w:r>
      <w:r w:rsidR="005D4219">
        <w:t>SDG</w:t>
      </w:r>
      <w:r w:rsidR="00755C1D">
        <w:t xml:space="preserve"> måste betraktas som begränsad. R</w:t>
      </w:r>
      <w:r>
        <w:t xml:space="preserve">imligen </w:t>
      </w:r>
      <w:r w:rsidR="008A3325">
        <w:t xml:space="preserve">borde </w:t>
      </w:r>
      <w:r>
        <w:t>man kunna förbättra</w:t>
      </w:r>
      <w:r w:rsidR="005D4219">
        <w:t xml:space="preserve"> sig</w:t>
      </w:r>
      <w:r>
        <w:t xml:space="preserve"> </w:t>
      </w:r>
      <w:r w:rsidR="00755C1D">
        <w:t xml:space="preserve">något </w:t>
      </w:r>
      <w:r>
        <w:t>inom andel förstagenerationen studenter och stärka utfallet inom åtgärder inom livslångt lärande, men att inrätta någon lärarutbildning</w:t>
      </w:r>
      <w:r w:rsidR="00914635">
        <w:t xml:space="preserve"> som vänder sig mot grundskolan</w:t>
      </w:r>
      <w:r>
        <w:t xml:space="preserve"> är knappast aktuellt och KTH:s forskning är framför allt inriktad mot teknik-, natur- och livsvetenskap. </w:t>
      </w:r>
    </w:p>
    <w:p w:rsidR="003F77BA" w:rsidRPr="003F77BA" w:rsidRDefault="003F77BA" w:rsidP="00324325">
      <w:pPr>
        <w:pStyle w:val="Brdtext"/>
        <w:rPr>
          <w:lang w:val="en-US"/>
        </w:rPr>
      </w:pPr>
      <w:proofErr w:type="spellStart"/>
      <w:r w:rsidRPr="003F77BA">
        <w:rPr>
          <w:lang w:val="en-US"/>
        </w:rPr>
        <w:t>En</w:t>
      </w:r>
      <w:proofErr w:type="spellEnd"/>
      <w:r w:rsidRPr="003F77BA">
        <w:rPr>
          <w:lang w:val="en-US"/>
        </w:rPr>
        <w:t xml:space="preserve"> policy </w:t>
      </w:r>
      <w:proofErr w:type="spellStart"/>
      <w:r w:rsidRPr="003F77BA">
        <w:rPr>
          <w:lang w:val="en-US"/>
        </w:rPr>
        <w:t>krävs</w:t>
      </w:r>
      <w:proofErr w:type="spellEnd"/>
      <w:r w:rsidRPr="003F77BA">
        <w:rPr>
          <w:lang w:val="en-US"/>
        </w:rPr>
        <w:t xml:space="preserve"> </w:t>
      </w:r>
      <w:proofErr w:type="spellStart"/>
      <w:r w:rsidRPr="003F77BA">
        <w:rPr>
          <w:lang w:val="en-US"/>
        </w:rPr>
        <w:t>för</w:t>
      </w:r>
      <w:proofErr w:type="spellEnd"/>
      <w:r w:rsidRPr="003F77BA">
        <w:rPr>
          <w:lang w:val="en-US"/>
        </w:rPr>
        <w:t xml:space="preserve"> </w:t>
      </w:r>
      <w:proofErr w:type="spellStart"/>
      <w:r w:rsidRPr="003F77BA">
        <w:rPr>
          <w:lang w:val="en-US"/>
        </w:rPr>
        <w:t>att</w:t>
      </w:r>
      <w:proofErr w:type="spellEnd"/>
      <w:r w:rsidRPr="003F77BA">
        <w:rPr>
          <w:lang w:val="en-US"/>
        </w:rPr>
        <w:t xml:space="preserve"> </w:t>
      </w:r>
      <w:proofErr w:type="spellStart"/>
      <w:r w:rsidRPr="003F77BA">
        <w:rPr>
          <w:lang w:val="en-US"/>
        </w:rPr>
        <w:t>få</w:t>
      </w:r>
      <w:proofErr w:type="spellEnd"/>
      <w:r w:rsidRPr="003F77BA">
        <w:rPr>
          <w:lang w:val="en-US"/>
        </w:rPr>
        <w:t xml:space="preserve"> full </w:t>
      </w:r>
      <w:proofErr w:type="spellStart"/>
      <w:r w:rsidRPr="003F77BA">
        <w:rPr>
          <w:lang w:val="en-US"/>
        </w:rPr>
        <w:t>poäng</w:t>
      </w:r>
      <w:proofErr w:type="spellEnd"/>
      <w:r w:rsidRPr="003F77BA">
        <w:rPr>
          <w:lang w:val="en-US"/>
        </w:rPr>
        <w:t xml:space="preserve"> </w:t>
      </w:r>
      <w:proofErr w:type="spellStart"/>
      <w:r w:rsidRPr="003F77BA">
        <w:rPr>
          <w:lang w:val="en-US"/>
        </w:rPr>
        <w:t>inom</w:t>
      </w:r>
      <w:proofErr w:type="spellEnd"/>
      <w:r w:rsidRPr="003F77BA">
        <w:rPr>
          <w:lang w:val="en-US"/>
        </w:rPr>
        <w:t xml:space="preserve"> </w:t>
      </w:r>
      <w:proofErr w:type="spellStart"/>
      <w:r>
        <w:rPr>
          <w:lang w:val="en-US"/>
        </w:rPr>
        <w:t>indikatorn</w:t>
      </w:r>
      <w:proofErr w:type="spellEnd"/>
      <w:r>
        <w:rPr>
          <w:lang w:val="en-US"/>
        </w:rPr>
        <w:t xml:space="preserve"> </w:t>
      </w:r>
      <w:r w:rsidRPr="003F77BA">
        <w:rPr>
          <w:lang w:val="en-US"/>
        </w:rPr>
        <w:t>Policy to ensure that t</w:t>
      </w:r>
      <w:r>
        <w:rPr>
          <w:lang w:val="en-US"/>
        </w:rPr>
        <w:t>hese activities are open to all.</w:t>
      </w:r>
    </w:p>
    <w:p w:rsidR="00156524" w:rsidRPr="003F77BA" w:rsidRDefault="00156524" w:rsidP="00324325">
      <w:pPr>
        <w:pStyle w:val="Brdtext"/>
        <w:rPr>
          <w:lang w:val="en-US"/>
        </w:rPr>
      </w:pPr>
    </w:p>
    <w:p w:rsidR="00324325" w:rsidRPr="00285443" w:rsidRDefault="00324325" w:rsidP="000C272F">
      <w:pPr>
        <w:pStyle w:val="Rubrik3"/>
      </w:pPr>
      <w:bookmarkStart w:id="5" w:name="_Toc52351573"/>
      <w:r w:rsidRPr="00285443">
        <w:t>SDG 5</w:t>
      </w:r>
      <w:r w:rsidR="00AF18C7" w:rsidRPr="00285443">
        <w:t xml:space="preserve"> Gender </w:t>
      </w:r>
      <w:proofErr w:type="spellStart"/>
      <w:r w:rsidR="00AF18C7" w:rsidRPr="00285443">
        <w:t>Equality</w:t>
      </w:r>
      <w:bookmarkEnd w:id="5"/>
      <w:proofErr w:type="spellEnd"/>
    </w:p>
    <w:tbl>
      <w:tblPr>
        <w:tblStyle w:val="Tabellrutnt"/>
        <w:tblW w:w="0" w:type="auto"/>
        <w:tblLook w:val="04A0" w:firstRow="1" w:lastRow="0" w:firstColumn="1" w:lastColumn="0" w:noHBand="0" w:noVBand="1"/>
      </w:tblPr>
      <w:tblGrid>
        <w:gridCol w:w="3909"/>
        <w:gridCol w:w="1723"/>
        <w:gridCol w:w="920"/>
        <w:gridCol w:w="1871"/>
      </w:tblGrid>
      <w:tr w:rsidR="002A3E93" w:rsidRPr="00324325" w:rsidTr="001A2D76">
        <w:trPr>
          <w:trHeight w:val="315"/>
        </w:trPr>
        <w:tc>
          <w:tcPr>
            <w:tcW w:w="3909" w:type="dxa"/>
            <w:noWrap/>
          </w:tcPr>
          <w:p w:rsidR="002A3E93" w:rsidRPr="001A24C6" w:rsidRDefault="002A3E93" w:rsidP="002A3E93">
            <w:pPr>
              <w:pStyle w:val="Brdtext"/>
              <w:rPr>
                <w:b/>
                <w:lang w:val="en-US"/>
              </w:rPr>
            </w:pPr>
            <w:proofErr w:type="spellStart"/>
            <w:r w:rsidRPr="001A24C6">
              <w:rPr>
                <w:b/>
                <w:lang w:val="en-US"/>
              </w:rPr>
              <w:t>Indikator</w:t>
            </w:r>
            <w:proofErr w:type="spellEnd"/>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71"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1A2D76">
        <w:trPr>
          <w:trHeight w:val="315"/>
        </w:trPr>
        <w:tc>
          <w:tcPr>
            <w:tcW w:w="3909" w:type="dxa"/>
            <w:noWrap/>
            <w:hideMark/>
          </w:tcPr>
          <w:p w:rsidR="002A3E93" w:rsidRPr="008E44BF" w:rsidRDefault="002A3E93" w:rsidP="002A3E93">
            <w:pPr>
              <w:pStyle w:val="Brdtext"/>
              <w:rPr>
                <w:b/>
                <w:lang w:val="en-US"/>
              </w:rPr>
            </w:pPr>
            <w:r w:rsidRPr="008E44BF">
              <w:rPr>
                <w:b/>
                <w:highlight w:val="yellow"/>
                <w:lang w:val="en-US"/>
              </w:rPr>
              <w:t>Research on gender equality</w:t>
            </w:r>
          </w:p>
          <w:p w:rsidR="002A3E93" w:rsidRPr="00AB475B" w:rsidRDefault="002A3E93" w:rsidP="002A3E93">
            <w:pPr>
              <w:pStyle w:val="Brdtext"/>
              <w:rPr>
                <w:highlight w:val="red"/>
                <w:lang w:val="en-US"/>
              </w:rPr>
            </w:pPr>
            <w:r w:rsidRPr="00AB475B">
              <w:rPr>
                <w:highlight w:val="red"/>
                <w:lang w:val="en-US"/>
              </w:rPr>
              <w:t xml:space="preserve">Proportion of a university’s total research output that </w:t>
            </w:r>
            <w:proofErr w:type="gramStart"/>
            <w:r w:rsidRPr="00AB475B">
              <w:rPr>
                <w:highlight w:val="red"/>
                <w:lang w:val="en-US"/>
              </w:rPr>
              <w:t>is authored</w:t>
            </w:r>
            <w:proofErr w:type="gramEnd"/>
            <w:r w:rsidRPr="00AB475B">
              <w:rPr>
                <w:highlight w:val="red"/>
                <w:lang w:val="en-US"/>
              </w:rPr>
              <w:t xml:space="preserve"> by women (10%)</w:t>
            </w:r>
          </w:p>
          <w:p w:rsidR="002A3E93" w:rsidRPr="00B51097" w:rsidRDefault="002A3E93" w:rsidP="002A3E93">
            <w:pPr>
              <w:pStyle w:val="Brdtext"/>
              <w:rPr>
                <w:highlight w:val="yellow"/>
                <w:lang w:val="en-US"/>
              </w:rPr>
            </w:pPr>
            <w:r w:rsidRPr="00B51097">
              <w:rPr>
                <w:highlight w:val="yellow"/>
                <w:lang w:val="en-US"/>
              </w:rPr>
              <w:t xml:space="preserve">Proportion of papers on gender equality in the top 10 per cent of journals as defined by </w:t>
            </w:r>
            <w:proofErr w:type="spellStart"/>
            <w:r w:rsidRPr="00B51097">
              <w:rPr>
                <w:highlight w:val="yellow"/>
                <w:lang w:val="en-US"/>
              </w:rPr>
              <w:t>Citescore</w:t>
            </w:r>
            <w:proofErr w:type="spellEnd"/>
            <w:r w:rsidRPr="00B51097">
              <w:rPr>
                <w:highlight w:val="yellow"/>
                <w:lang w:val="en-US"/>
              </w:rPr>
              <w:t xml:space="preserve"> (10%)</w:t>
            </w:r>
          </w:p>
          <w:p w:rsidR="002A3E93" w:rsidRPr="00B51097" w:rsidRDefault="002A3E93" w:rsidP="002A3E93">
            <w:pPr>
              <w:pStyle w:val="Brdtext"/>
              <w:rPr>
                <w:highlight w:val="yellow"/>
                <w:lang w:val="en-US"/>
              </w:rPr>
            </w:pPr>
            <w:r w:rsidRPr="00AB475B">
              <w:rPr>
                <w:highlight w:val="green"/>
                <w:lang w:val="en-US"/>
              </w:rPr>
              <w:t>Number of publications on gender equality (7%)</w:t>
            </w:r>
          </w:p>
        </w:tc>
        <w:tc>
          <w:tcPr>
            <w:tcW w:w="1723" w:type="dxa"/>
            <w:noWrap/>
            <w:hideMark/>
          </w:tcPr>
          <w:p w:rsidR="002A3E93" w:rsidRPr="0053219A" w:rsidRDefault="002A3E93" w:rsidP="002A3E93">
            <w:pPr>
              <w:pStyle w:val="Brdtext"/>
              <w:rPr>
                <w:b/>
                <w:highlight w:val="yellow"/>
              </w:rPr>
            </w:pPr>
            <w:r w:rsidRPr="0053219A">
              <w:rPr>
                <w:b/>
                <w:highlight w:val="yellow"/>
              </w:rPr>
              <w:t>27%</w:t>
            </w:r>
          </w:p>
        </w:tc>
        <w:tc>
          <w:tcPr>
            <w:tcW w:w="920" w:type="dxa"/>
            <w:noWrap/>
            <w:hideMark/>
          </w:tcPr>
          <w:p w:rsidR="002A3E93" w:rsidRPr="0053219A" w:rsidRDefault="002A3E93" w:rsidP="002A3E93">
            <w:pPr>
              <w:pStyle w:val="Brdtext"/>
              <w:rPr>
                <w:b/>
                <w:highlight w:val="yellow"/>
              </w:rPr>
            </w:pPr>
            <w:r w:rsidRPr="0053219A">
              <w:rPr>
                <w:b/>
                <w:highlight w:val="yellow"/>
              </w:rPr>
              <w:t>55.6</w:t>
            </w:r>
          </w:p>
          <w:p w:rsidR="002A3E93" w:rsidRPr="005A0577" w:rsidRDefault="002A3E93" w:rsidP="002A3E93">
            <w:pPr>
              <w:pStyle w:val="Brdtext"/>
            </w:pPr>
            <w:r w:rsidRPr="00672796">
              <w:rPr>
                <w:highlight w:val="red"/>
              </w:rPr>
              <w:t>31.4</w:t>
            </w:r>
          </w:p>
          <w:p w:rsidR="002A3E93" w:rsidRPr="005A0577" w:rsidRDefault="002A3E93" w:rsidP="002A3E93">
            <w:pPr>
              <w:pStyle w:val="Brdtext"/>
            </w:pPr>
          </w:p>
          <w:p w:rsidR="002A3E93" w:rsidRPr="005A0577" w:rsidRDefault="002A3E93" w:rsidP="002A3E93">
            <w:pPr>
              <w:pStyle w:val="Brdtext"/>
            </w:pPr>
            <w:r w:rsidRPr="001B464D">
              <w:rPr>
                <w:highlight w:val="yellow"/>
              </w:rPr>
              <w:t>56</w:t>
            </w:r>
          </w:p>
          <w:p w:rsidR="002A3E93" w:rsidRPr="005A0577" w:rsidRDefault="002A3E93" w:rsidP="002A3E93">
            <w:pPr>
              <w:pStyle w:val="Brdtext"/>
            </w:pPr>
          </w:p>
          <w:p w:rsidR="002A3E93" w:rsidRPr="005A0577" w:rsidRDefault="002A3E93" w:rsidP="002A3E93">
            <w:pPr>
              <w:pStyle w:val="Brdtext"/>
            </w:pPr>
          </w:p>
          <w:p w:rsidR="002A3E93" w:rsidRPr="008726EC" w:rsidRDefault="002A3E93" w:rsidP="002A3E93">
            <w:pPr>
              <w:pStyle w:val="Brdtext"/>
              <w:rPr>
                <w:highlight w:val="yellow"/>
              </w:rPr>
            </w:pPr>
            <w:r w:rsidRPr="00AF04BE">
              <w:rPr>
                <w:highlight w:val="green"/>
              </w:rPr>
              <w:t>89.7</w:t>
            </w:r>
          </w:p>
        </w:tc>
        <w:tc>
          <w:tcPr>
            <w:tcW w:w="1871" w:type="dxa"/>
            <w:noWrap/>
            <w:hideMark/>
          </w:tcPr>
          <w:p w:rsidR="002A3E93" w:rsidRPr="0053219A" w:rsidRDefault="002A3E93" w:rsidP="002A3E93">
            <w:pPr>
              <w:pStyle w:val="Brdtext"/>
              <w:rPr>
                <w:b/>
                <w:highlight w:val="yellow"/>
              </w:rPr>
            </w:pPr>
            <w:r w:rsidRPr="0053219A">
              <w:rPr>
                <w:b/>
                <w:highlight w:val="yellow"/>
              </w:rPr>
              <w:t>201–300</w:t>
            </w:r>
          </w:p>
        </w:tc>
      </w:tr>
      <w:tr w:rsidR="002A3E93" w:rsidRPr="00324325" w:rsidTr="001A2D76">
        <w:trPr>
          <w:trHeight w:val="315"/>
        </w:trPr>
        <w:tc>
          <w:tcPr>
            <w:tcW w:w="3909" w:type="dxa"/>
            <w:noWrap/>
            <w:hideMark/>
          </w:tcPr>
          <w:p w:rsidR="002A3E93" w:rsidRPr="008E44BF" w:rsidRDefault="002A3E93" w:rsidP="002A3E93">
            <w:pPr>
              <w:pStyle w:val="Brdtext"/>
              <w:rPr>
                <w:b/>
                <w:highlight w:val="red"/>
                <w:lang w:val="en-US"/>
              </w:rPr>
            </w:pPr>
            <w:r w:rsidRPr="008E44BF">
              <w:rPr>
                <w:b/>
                <w:highlight w:val="red"/>
                <w:lang w:val="en-US"/>
              </w:rPr>
              <w:t>Proportion of first-generation female students</w:t>
            </w:r>
          </w:p>
        </w:tc>
        <w:tc>
          <w:tcPr>
            <w:tcW w:w="1723" w:type="dxa"/>
            <w:noWrap/>
            <w:hideMark/>
          </w:tcPr>
          <w:p w:rsidR="002A3E93" w:rsidRPr="008726EC" w:rsidRDefault="002A3E93" w:rsidP="002A3E93">
            <w:pPr>
              <w:pStyle w:val="Brdtext"/>
              <w:rPr>
                <w:highlight w:val="red"/>
              </w:rPr>
            </w:pPr>
            <w:r w:rsidRPr="008726EC">
              <w:rPr>
                <w:highlight w:val="red"/>
              </w:rPr>
              <w:t>15,4</w:t>
            </w:r>
            <w:r>
              <w:rPr>
                <w:highlight w:val="red"/>
              </w:rPr>
              <w:t>%</w:t>
            </w:r>
          </w:p>
        </w:tc>
        <w:tc>
          <w:tcPr>
            <w:tcW w:w="920" w:type="dxa"/>
            <w:noWrap/>
            <w:hideMark/>
          </w:tcPr>
          <w:p w:rsidR="002A3E93" w:rsidRPr="008726EC" w:rsidRDefault="002A3E93" w:rsidP="002A3E93">
            <w:pPr>
              <w:pStyle w:val="Brdtext"/>
              <w:rPr>
                <w:highlight w:val="red"/>
              </w:rPr>
            </w:pPr>
            <w:r w:rsidRPr="008726EC">
              <w:rPr>
                <w:highlight w:val="red"/>
              </w:rPr>
              <w:t>36.8</w:t>
            </w:r>
          </w:p>
        </w:tc>
        <w:tc>
          <w:tcPr>
            <w:tcW w:w="1871" w:type="dxa"/>
            <w:noWrap/>
          </w:tcPr>
          <w:p w:rsidR="002A3E93" w:rsidRPr="00324325" w:rsidRDefault="002A3E93" w:rsidP="002A3E93">
            <w:pPr>
              <w:pStyle w:val="Brdtext"/>
            </w:pPr>
          </w:p>
        </w:tc>
      </w:tr>
      <w:tr w:rsidR="002A3E93" w:rsidRPr="00DA2C92" w:rsidTr="001A2D76">
        <w:trPr>
          <w:trHeight w:val="315"/>
        </w:trPr>
        <w:tc>
          <w:tcPr>
            <w:tcW w:w="3909" w:type="dxa"/>
            <w:noWrap/>
            <w:hideMark/>
          </w:tcPr>
          <w:p w:rsidR="002A3E93" w:rsidRPr="008E44BF" w:rsidRDefault="002A3E93" w:rsidP="002A3E93">
            <w:pPr>
              <w:pStyle w:val="Brdtext"/>
              <w:rPr>
                <w:b/>
                <w:lang w:val="en-US"/>
              </w:rPr>
            </w:pPr>
            <w:r w:rsidRPr="008E44BF">
              <w:rPr>
                <w:b/>
                <w:highlight w:val="yellow"/>
                <w:lang w:val="en-US"/>
              </w:rPr>
              <w:t>Student access measures</w:t>
            </w:r>
          </w:p>
          <w:p w:rsidR="002A3E93" w:rsidRPr="00AB475B" w:rsidRDefault="002A3E93" w:rsidP="002A3E93">
            <w:pPr>
              <w:pStyle w:val="Brdtext"/>
              <w:rPr>
                <w:highlight w:val="green"/>
                <w:lang w:val="en-US"/>
              </w:rPr>
            </w:pPr>
            <w:r w:rsidRPr="00AB475B">
              <w:rPr>
                <w:highlight w:val="green"/>
                <w:lang w:val="en-US"/>
              </w:rPr>
              <w:t>Track application, acceptance and completion rates for female students (1.6%)</w:t>
            </w:r>
          </w:p>
          <w:p w:rsidR="002A3E93" w:rsidRPr="00B51097" w:rsidRDefault="002A3E93" w:rsidP="002A3E93">
            <w:pPr>
              <w:pStyle w:val="Brdtext"/>
              <w:rPr>
                <w:highlight w:val="yellow"/>
                <w:lang w:val="en-US"/>
              </w:rPr>
            </w:pPr>
            <w:r w:rsidRPr="00B51097">
              <w:rPr>
                <w:highlight w:val="yellow"/>
                <w:lang w:val="en-US"/>
              </w:rPr>
              <w:t>Policy addressing application, acceptance, entry and participation rates for female students (4.6%)</w:t>
            </w:r>
          </w:p>
          <w:p w:rsidR="002A3E93" w:rsidRPr="00AB475B" w:rsidRDefault="002A3E93" w:rsidP="002A3E93">
            <w:pPr>
              <w:pStyle w:val="Brdtext"/>
              <w:rPr>
                <w:highlight w:val="red"/>
                <w:lang w:val="en-US"/>
              </w:rPr>
            </w:pPr>
            <w:r w:rsidRPr="00AB475B">
              <w:rPr>
                <w:highlight w:val="red"/>
                <w:lang w:val="en-US"/>
              </w:rPr>
              <w:t>Provision of appropriate women’s access schemes, such as mentoring (4.6%)</w:t>
            </w:r>
          </w:p>
          <w:p w:rsidR="002A3E93" w:rsidRPr="00B51097" w:rsidRDefault="002A3E93" w:rsidP="002A3E93">
            <w:pPr>
              <w:pStyle w:val="Brdtext"/>
              <w:rPr>
                <w:lang w:val="en-US"/>
              </w:rPr>
            </w:pPr>
            <w:r w:rsidRPr="00AB475B">
              <w:rPr>
                <w:highlight w:val="green"/>
                <w:lang w:val="en-US"/>
              </w:rPr>
              <w:lastRenderedPageBreak/>
              <w:t>Encourage applications in areas where women are under-represented (4.6%)</w:t>
            </w:r>
          </w:p>
        </w:tc>
        <w:tc>
          <w:tcPr>
            <w:tcW w:w="1723" w:type="dxa"/>
            <w:noWrap/>
            <w:hideMark/>
          </w:tcPr>
          <w:p w:rsidR="002A3E93" w:rsidRPr="00672796" w:rsidRDefault="002A3E93" w:rsidP="002A3E93">
            <w:pPr>
              <w:pStyle w:val="Brdtext"/>
              <w:rPr>
                <w:b/>
                <w:highlight w:val="yellow"/>
              </w:rPr>
            </w:pPr>
            <w:r w:rsidRPr="00672796">
              <w:rPr>
                <w:b/>
                <w:highlight w:val="yellow"/>
              </w:rPr>
              <w:lastRenderedPageBreak/>
              <w:t>15.4%</w:t>
            </w:r>
          </w:p>
        </w:tc>
        <w:tc>
          <w:tcPr>
            <w:tcW w:w="920" w:type="dxa"/>
            <w:noWrap/>
            <w:hideMark/>
          </w:tcPr>
          <w:p w:rsidR="002A3E93" w:rsidRPr="00672796" w:rsidRDefault="002A3E93" w:rsidP="002A3E93">
            <w:pPr>
              <w:pStyle w:val="Brdtext"/>
              <w:rPr>
                <w:b/>
                <w:highlight w:val="yellow"/>
              </w:rPr>
            </w:pPr>
            <w:r w:rsidRPr="00672796">
              <w:rPr>
                <w:b/>
                <w:highlight w:val="yellow"/>
              </w:rPr>
              <w:t>57.2</w:t>
            </w:r>
          </w:p>
          <w:p w:rsidR="002A3E93" w:rsidRPr="005A0577" w:rsidRDefault="002A3E93" w:rsidP="002A3E93">
            <w:pPr>
              <w:pStyle w:val="Brdtext"/>
            </w:pPr>
            <w:r w:rsidRPr="00AF04BE">
              <w:rPr>
                <w:highlight w:val="green"/>
              </w:rPr>
              <w:t>100</w:t>
            </w:r>
          </w:p>
          <w:p w:rsidR="002A3E93" w:rsidRPr="005A0577" w:rsidRDefault="002A3E93" w:rsidP="002A3E93">
            <w:pPr>
              <w:pStyle w:val="Brdtext"/>
            </w:pPr>
          </w:p>
          <w:p w:rsidR="002A3E93" w:rsidRPr="005A0577" w:rsidRDefault="002A3E93" w:rsidP="002A3E93">
            <w:pPr>
              <w:pStyle w:val="Brdtext"/>
            </w:pPr>
            <w:r w:rsidRPr="001B464D">
              <w:rPr>
                <w:highlight w:val="yellow"/>
              </w:rPr>
              <w:t>50</w:t>
            </w:r>
          </w:p>
          <w:p w:rsidR="002A3E93" w:rsidRPr="005A0577" w:rsidRDefault="002A3E93" w:rsidP="002A3E93">
            <w:pPr>
              <w:pStyle w:val="Brdtext"/>
            </w:pPr>
          </w:p>
          <w:p w:rsidR="002A3E93" w:rsidRPr="005A0577" w:rsidRDefault="002A3E93" w:rsidP="002A3E93">
            <w:pPr>
              <w:pStyle w:val="Brdtext"/>
            </w:pPr>
            <w:r w:rsidRPr="00F525E0">
              <w:rPr>
                <w:highlight w:val="red"/>
              </w:rPr>
              <w:t>6.7</w:t>
            </w:r>
          </w:p>
          <w:p w:rsidR="00F525E0" w:rsidRDefault="00F525E0" w:rsidP="002A3E93">
            <w:pPr>
              <w:pStyle w:val="Brdtext"/>
            </w:pPr>
          </w:p>
          <w:p w:rsidR="00F525E0" w:rsidRDefault="00F525E0" w:rsidP="002A3E93">
            <w:pPr>
              <w:pStyle w:val="Brdtext"/>
              <w:rPr>
                <w:highlight w:val="green"/>
              </w:rPr>
            </w:pPr>
          </w:p>
          <w:p w:rsidR="002A3E93" w:rsidRPr="008726EC" w:rsidRDefault="002A3E93" w:rsidP="002A3E93">
            <w:pPr>
              <w:pStyle w:val="Brdtext"/>
              <w:rPr>
                <w:highlight w:val="yellow"/>
              </w:rPr>
            </w:pPr>
            <w:r w:rsidRPr="00AF04BE">
              <w:rPr>
                <w:highlight w:val="green"/>
              </w:rPr>
              <w:t>100</w:t>
            </w:r>
          </w:p>
        </w:tc>
        <w:tc>
          <w:tcPr>
            <w:tcW w:w="1871" w:type="dxa"/>
            <w:noWrap/>
          </w:tcPr>
          <w:p w:rsidR="002A3E93" w:rsidRDefault="002A3E93" w:rsidP="002A3E93">
            <w:pPr>
              <w:pStyle w:val="Brdtext"/>
            </w:pPr>
          </w:p>
          <w:p w:rsidR="00DA2C92" w:rsidRDefault="00DA2C92" w:rsidP="002A3E93">
            <w:pPr>
              <w:pStyle w:val="Brdtext"/>
            </w:pPr>
          </w:p>
          <w:p w:rsidR="00DA2C92" w:rsidRDefault="00DA2C92" w:rsidP="002A3E93">
            <w:pPr>
              <w:pStyle w:val="Brdtext"/>
            </w:pPr>
          </w:p>
          <w:p w:rsidR="00DA2C92" w:rsidRPr="00DA2C92" w:rsidRDefault="00DA2C92" w:rsidP="002A3E93">
            <w:pPr>
              <w:pStyle w:val="Brdtext"/>
              <w:rPr>
                <w:lang w:val="en-US"/>
              </w:rPr>
            </w:pPr>
            <w:r w:rsidRPr="00DA2C92">
              <w:rPr>
                <w:lang w:val="en-US"/>
              </w:rPr>
              <w:t xml:space="preserve">Evidence not </w:t>
            </w:r>
            <w:proofErr w:type="spellStart"/>
            <w:r w:rsidRPr="00DA2C92">
              <w:rPr>
                <w:lang w:val="en-US"/>
              </w:rPr>
              <w:t>provid</w:t>
            </w:r>
            <w:proofErr w:type="spellEnd"/>
          </w:p>
          <w:p w:rsidR="00DA2C92" w:rsidRPr="00DA2C92" w:rsidRDefault="00DA2C92" w:rsidP="002A3E93">
            <w:pPr>
              <w:pStyle w:val="Brdtext"/>
              <w:rPr>
                <w:lang w:val="en-US"/>
              </w:rPr>
            </w:pPr>
            <w:proofErr w:type="spellStart"/>
            <w:r>
              <w:t>Evidence</w:t>
            </w:r>
            <w:proofErr w:type="spellEnd"/>
            <w:r>
              <w:t xml:space="preserve"> not </w:t>
            </w:r>
            <w:proofErr w:type="spellStart"/>
            <w:r>
              <w:t>provided</w:t>
            </w:r>
            <w:proofErr w:type="spellEnd"/>
          </w:p>
        </w:tc>
      </w:tr>
      <w:tr w:rsidR="002A3E93" w:rsidRPr="00324325" w:rsidTr="001A2D76">
        <w:trPr>
          <w:trHeight w:val="315"/>
        </w:trPr>
        <w:tc>
          <w:tcPr>
            <w:tcW w:w="3909" w:type="dxa"/>
            <w:noWrap/>
            <w:hideMark/>
          </w:tcPr>
          <w:p w:rsidR="002A3E93" w:rsidRPr="008E44BF" w:rsidRDefault="002A3E93" w:rsidP="002A3E93">
            <w:pPr>
              <w:pStyle w:val="Brdtext"/>
              <w:rPr>
                <w:b/>
                <w:lang w:val="en-US"/>
              </w:rPr>
            </w:pPr>
            <w:r w:rsidRPr="008E44BF">
              <w:rPr>
                <w:b/>
                <w:highlight w:val="red"/>
                <w:lang w:val="en-US"/>
              </w:rPr>
              <w:t>Proportion of senior female academics</w:t>
            </w:r>
          </w:p>
        </w:tc>
        <w:tc>
          <w:tcPr>
            <w:tcW w:w="1723" w:type="dxa"/>
            <w:noWrap/>
            <w:hideMark/>
          </w:tcPr>
          <w:p w:rsidR="002A3E93" w:rsidRPr="008726EC" w:rsidRDefault="002A3E93" w:rsidP="002A3E93">
            <w:pPr>
              <w:pStyle w:val="Brdtext"/>
              <w:rPr>
                <w:highlight w:val="red"/>
              </w:rPr>
            </w:pPr>
            <w:r w:rsidRPr="008726EC">
              <w:rPr>
                <w:highlight w:val="red"/>
              </w:rPr>
              <w:t>15.4</w:t>
            </w:r>
            <w:r>
              <w:rPr>
                <w:highlight w:val="red"/>
              </w:rPr>
              <w:t>%</w:t>
            </w:r>
          </w:p>
        </w:tc>
        <w:tc>
          <w:tcPr>
            <w:tcW w:w="920" w:type="dxa"/>
            <w:noWrap/>
            <w:hideMark/>
          </w:tcPr>
          <w:p w:rsidR="002A3E93" w:rsidRPr="008726EC" w:rsidRDefault="002A3E93" w:rsidP="002A3E93">
            <w:pPr>
              <w:pStyle w:val="Brdtext"/>
              <w:rPr>
                <w:highlight w:val="red"/>
              </w:rPr>
            </w:pPr>
            <w:r w:rsidRPr="008726EC">
              <w:rPr>
                <w:highlight w:val="red"/>
              </w:rPr>
              <w:t>22.7</w:t>
            </w:r>
          </w:p>
        </w:tc>
        <w:tc>
          <w:tcPr>
            <w:tcW w:w="1871" w:type="dxa"/>
            <w:noWrap/>
          </w:tcPr>
          <w:p w:rsidR="002A3E93" w:rsidRPr="00324325" w:rsidRDefault="002A3E93" w:rsidP="002A3E93">
            <w:pPr>
              <w:pStyle w:val="Brdtext"/>
            </w:pPr>
          </w:p>
        </w:tc>
      </w:tr>
      <w:tr w:rsidR="002A3E93" w:rsidRPr="00324325" w:rsidTr="001A2D76">
        <w:trPr>
          <w:trHeight w:val="315"/>
        </w:trPr>
        <w:tc>
          <w:tcPr>
            <w:tcW w:w="3909" w:type="dxa"/>
            <w:noWrap/>
            <w:hideMark/>
          </w:tcPr>
          <w:p w:rsidR="002A3E93" w:rsidRPr="008E44BF" w:rsidRDefault="002A3E93" w:rsidP="002A3E93">
            <w:pPr>
              <w:pStyle w:val="Brdtext"/>
              <w:rPr>
                <w:b/>
                <w:lang w:val="en-US"/>
              </w:rPr>
            </w:pPr>
            <w:r w:rsidRPr="008E44BF">
              <w:rPr>
                <w:b/>
                <w:highlight w:val="red"/>
                <w:lang w:val="en-US"/>
              </w:rPr>
              <w:t>Proportion of women receiving degrees</w:t>
            </w:r>
          </w:p>
        </w:tc>
        <w:tc>
          <w:tcPr>
            <w:tcW w:w="1723" w:type="dxa"/>
            <w:noWrap/>
            <w:hideMark/>
          </w:tcPr>
          <w:p w:rsidR="002A3E93" w:rsidRPr="008726EC" w:rsidRDefault="002A3E93" w:rsidP="002A3E93">
            <w:pPr>
              <w:pStyle w:val="Brdtext"/>
              <w:rPr>
                <w:highlight w:val="red"/>
              </w:rPr>
            </w:pPr>
            <w:r w:rsidRPr="008726EC">
              <w:rPr>
                <w:highlight w:val="red"/>
              </w:rPr>
              <w:t>11.5</w:t>
            </w:r>
            <w:r>
              <w:rPr>
                <w:highlight w:val="red"/>
              </w:rPr>
              <w:t>%</w:t>
            </w:r>
          </w:p>
        </w:tc>
        <w:tc>
          <w:tcPr>
            <w:tcW w:w="920" w:type="dxa"/>
            <w:noWrap/>
            <w:hideMark/>
          </w:tcPr>
          <w:p w:rsidR="002A3E93" w:rsidRPr="008726EC" w:rsidRDefault="002A3E93" w:rsidP="002A3E93">
            <w:pPr>
              <w:pStyle w:val="Brdtext"/>
              <w:rPr>
                <w:highlight w:val="red"/>
              </w:rPr>
            </w:pPr>
            <w:r w:rsidRPr="008726EC">
              <w:rPr>
                <w:highlight w:val="red"/>
              </w:rPr>
              <w:t>34.8</w:t>
            </w:r>
          </w:p>
        </w:tc>
        <w:tc>
          <w:tcPr>
            <w:tcW w:w="1871" w:type="dxa"/>
            <w:noWrap/>
          </w:tcPr>
          <w:p w:rsidR="002A3E93" w:rsidRPr="00324325" w:rsidRDefault="002A3E93" w:rsidP="002A3E93">
            <w:pPr>
              <w:pStyle w:val="Brdtext"/>
            </w:pPr>
          </w:p>
        </w:tc>
      </w:tr>
      <w:tr w:rsidR="002A3E93" w:rsidRPr="00324325" w:rsidTr="001A2D76">
        <w:trPr>
          <w:trHeight w:val="630"/>
        </w:trPr>
        <w:tc>
          <w:tcPr>
            <w:tcW w:w="3909" w:type="dxa"/>
            <w:noWrap/>
            <w:hideMark/>
          </w:tcPr>
          <w:p w:rsidR="002A3E93" w:rsidRPr="00187448" w:rsidRDefault="002A3E93" w:rsidP="002A3E93">
            <w:pPr>
              <w:pStyle w:val="Brdtext"/>
              <w:rPr>
                <w:b/>
                <w:highlight w:val="yellow"/>
                <w:lang w:val="en-US"/>
              </w:rPr>
            </w:pPr>
            <w:r w:rsidRPr="00187448">
              <w:rPr>
                <w:b/>
                <w:highlight w:val="yellow"/>
                <w:lang w:val="en-US"/>
              </w:rPr>
              <w:t>Women’s progress measures</w:t>
            </w:r>
          </w:p>
          <w:p w:rsidR="002A3E93" w:rsidRPr="00AB475B" w:rsidRDefault="002A3E93" w:rsidP="002A3E93">
            <w:pPr>
              <w:pStyle w:val="Brdtext"/>
              <w:rPr>
                <w:highlight w:val="green"/>
                <w:lang w:val="en-US"/>
              </w:rPr>
            </w:pPr>
            <w:r w:rsidRPr="00AB475B">
              <w:rPr>
                <w:highlight w:val="green"/>
                <w:lang w:val="en-US"/>
              </w:rPr>
              <w:t>Policy of non-discrimination against women (1.95%)</w:t>
            </w:r>
          </w:p>
          <w:p w:rsidR="002A3E93" w:rsidRPr="00AB475B" w:rsidRDefault="002A3E93" w:rsidP="002A3E93">
            <w:pPr>
              <w:pStyle w:val="Brdtext"/>
              <w:rPr>
                <w:highlight w:val="green"/>
                <w:lang w:val="en-US"/>
              </w:rPr>
            </w:pPr>
            <w:r w:rsidRPr="00AB475B">
              <w:rPr>
                <w:highlight w:val="green"/>
                <w:lang w:val="en-US"/>
              </w:rPr>
              <w:t>Policy of non-discrimination against transgender people (1.95%)</w:t>
            </w:r>
          </w:p>
          <w:p w:rsidR="002A3E93" w:rsidRPr="00AB475B" w:rsidRDefault="002A3E93" w:rsidP="002A3E93">
            <w:pPr>
              <w:pStyle w:val="Brdtext"/>
              <w:rPr>
                <w:highlight w:val="red"/>
                <w:lang w:val="en-US"/>
              </w:rPr>
            </w:pPr>
            <w:r w:rsidRPr="00AB475B">
              <w:rPr>
                <w:highlight w:val="red"/>
                <w:lang w:val="en-US"/>
              </w:rPr>
              <w:t>Maternity and paternity policies that support women’s participation (1.9%)</w:t>
            </w:r>
          </w:p>
          <w:p w:rsidR="002A3E93" w:rsidRPr="00AB475B" w:rsidRDefault="002A3E93" w:rsidP="002A3E93">
            <w:pPr>
              <w:pStyle w:val="Brdtext"/>
              <w:rPr>
                <w:highlight w:val="red"/>
                <w:lang w:val="en-US"/>
              </w:rPr>
            </w:pPr>
            <w:r w:rsidRPr="00AB475B">
              <w:rPr>
                <w:highlight w:val="red"/>
                <w:lang w:val="en-US"/>
              </w:rPr>
              <w:t>Accessible childcare facilities for students (1.9%)</w:t>
            </w:r>
          </w:p>
          <w:p w:rsidR="002A3E93" w:rsidRPr="00AB475B" w:rsidRDefault="002A3E93" w:rsidP="002A3E93">
            <w:pPr>
              <w:pStyle w:val="Brdtext"/>
              <w:rPr>
                <w:highlight w:val="red"/>
                <w:lang w:val="en-US"/>
              </w:rPr>
            </w:pPr>
            <w:r w:rsidRPr="00AB475B">
              <w:rPr>
                <w:highlight w:val="red"/>
                <w:lang w:val="en-US"/>
              </w:rPr>
              <w:t>Accessible childcare facilities for staff (1.9%)</w:t>
            </w:r>
          </w:p>
          <w:p w:rsidR="002A3E93" w:rsidRPr="00AB475B" w:rsidRDefault="002A3E93" w:rsidP="002A3E93">
            <w:pPr>
              <w:pStyle w:val="Brdtext"/>
              <w:rPr>
                <w:highlight w:val="red"/>
                <w:lang w:val="en-US"/>
              </w:rPr>
            </w:pPr>
            <w:r w:rsidRPr="00AB475B">
              <w:rPr>
                <w:highlight w:val="red"/>
                <w:lang w:val="en-US"/>
              </w:rPr>
              <w:t>Women’s mentoring schemes, in which at least 10 per cent of female students participate (1.9%)</w:t>
            </w:r>
          </w:p>
          <w:p w:rsidR="002A3E93" w:rsidRPr="00AB475B" w:rsidRDefault="002A3E93" w:rsidP="002A3E93">
            <w:pPr>
              <w:pStyle w:val="Brdtext"/>
              <w:rPr>
                <w:highlight w:val="green"/>
                <w:lang w:val="en-US"/>
              </w:rPr>
            </w:pPr>
            <w:r w:rsidRPr="00AB475B">
              <w:rPr>
                <w:highlight w:val="green"/>
                <w:lang w:val="en-US"/>
              </w:rPr>
              <w:t xml:space="preserve">Track women’s graduation rate compared with </w:t>
            </w:r>
            <w:proofErr w:type="gramStart"/>
            <w:r w:rsidRPr="00AB475B">
              <w:rPr>
                <w:highlight w:val="green"/>
                <w:lang w:val="en-US"/>
              </w:rPr>
              <w:t>men’s</w:t>
            </w:r>
            <w:proofErr w:type="gramEnd"/>
            <w:r w:rsidRPr="00AB475B">
              <w:rPr>
                <w:highlight w:val="green"/>
                <w:lang w:val="en-US"/>
              </w:rPr>
              <w:t xml:space="preserve"> and scheme in place to close any gap (1.9%)</w:t>
            </w:r>
          </w:p>
          <w:p w:rsidR="002A3E93" w:rsidRPr="00B51097" w:rsidRDefault="002A3E93" w:rsidP="002A3E93">
            <w:pPr>
              <w:pStyle w:val="Brdtext"/>
              <w:rPr>
                <w:lang w:val="en-US"/>
              </w:rPr>
            </w:pPr>
            <w:r w:rsidRPr="00AB475B">
              <w:rPr>
                <w:highlight w:val="green"/>
                <w:lang w:val="en-US"/>
              </w:rPr>
              <w:t>Policy protecting those reporting discrimination (1.9%)</w:t>
            </w:r>
          </w:p>
        </w:tc>
        <w:tc>
          <w:tcPr>
            <w:tcW w:w="1723" w:type="dxa"/>
            <w:noWrap/>
            <w:hideMark/>
          </w:tcPr>
          <w:p w:rsidR="002A3E93" w:rsidRPr="0053219A" w:rsidRDefault="002A3E93" w:rsidP="002A3E93">
            <w:pPr>
              <w:pStyle w:val="Brdtext"/>
              <w:rPr>
                <w:b/>
                <w:highlight w:val="yellow"/>
              </w:rPr>
            </w:pPr>
            <w:r w:rsidRPr="0053219A">
              <w:rPr>
                <w:b/>
                <w:highlight w:val="yellow"/>
              </w:rPr>
              <w:t>15.3%</w:t>
            </w:r>
          </w:p>
        </w:tc>
        <w:tc>
          <w:tcPr>
            <w:tcW w:w="920" w:type="dxa"/>
            <w:noWrap/>
            <w:hideMark/>
          </w:tcPr>
          <w:p w:rsidR="002A3E93" w:rsidRPr="0053219A" w:rsidRDefault="002A3E93" w:rsidP="002A3E93">
            <w:pPr>
              <w:pStyle w:val="Brdtext"/>
              <w:rPr>
                <w:b/>
                <w:highlight w:val="yellow"/>
              </w:rPr>
            </w:pPr>
            <w:r w:rsidRPr="0053219A">
              <w:rPr>
                <w:b/>
                <w:highlight w:val="yellow"/>
              </w:rPr>
              <w:t>51.4</w:t>
            </w: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Pr="005A0577" w:rsidRDefault="002A3E93" w:rsidP="002A3E93">
            <w:pPr>
              <w:pStyle w:val="Brdtext"/>
            </w:pPr>
            <w:r w:rsidRPr="00AF04BE">
              <w:rPr>
                <w:highlight w:val="green"/>
              </w:rPr>
              <w:t>100</w:t>
            </w:r>
          </w:p>
          <w:p w:rsidR="00F525E0" w:rsidRPr="00F525E0" w:rsidRDefault="00F525E0" w:rsidP="002A3E93">
            <w:pPr>
              <w:pStyle w:val="Brdtext"/>
              <w:rPr>
                <w:highlight w:val="red"/>
              </w:rPr>
            </w:pPr>
            <w:r w:rsidRPr="00F525E0">
              <w:rPr>
                <w:highlight w:val="red"/>
              </w:rPr>
              <w:t>25</w:t>
            </w:r>
          </w:p>
          <w:p w:rsidR="00F525E0" w:rsidRPr="00F525E0" w:rsidRDefault="00F525E0" w:rsidP="002A3E93">
            <w:pPr>
              <w:pStyle w:val="Brdtext"/>
              <w:rPr>
                <w:highlight w:val="red"/>
              </w:rPr>
            </w:pPr>
          </w:p>
          <w:p w:rsidR="002A3E93" w:rsidRPr="00F525E0" w:rsidRDefault="002A3E93" w:rsidP="002A3E93">
            <w:pPr>
              <w:pStyle w:val="Brdtext"/>
              <w:rPr>
                <w:highlight w:val="red"/>
              </w:rPr>
            </w:pPr>
            <w:r w:rsidRPr="00F525E0">
              <w:rPr>
                <w:highlight w:val="red"/>
              </w:rPr>
              <w:t>N/A</w:t>
            </w:r>
          </w:p>
          <w:p w:rsidR="002A3E93" w:rsidRPr="00F525E0" w:rsidRDefault="002A3E93" w:rsidP="002A3E93">
            <w:pPr>
              <w:pStyle w:val="Brdtext"/>
              <w:rPr>
                <w:highlight w:val="red"/>
              </w:rPr>
            </w:pPr>
            <w:r w:rsidRPr="00F525E0">
              <w:rPr>
                <w:highlight w:val="red"/>
              </w:rPr>
              <w:t>N/A</w:t>
            </w:r>
          </w:p>
          <w:p w:rsidR="002A3E93" w:rsidRPr="00F525E0" w:rsidRDefault="002A3E93" w:rsidP="002A3E93">
            <w:pPr>
              <w:pStyle w:val="Brdtext"/>
              <w:rPr>
                <w:highlight w:val="red"/>
              </w:rPr>
            </w:pPr>
          </w:p>
          <w:p w:rsidR="002A3E93" w:rsidRPr="005A0577" w:rsidRDefault="002A3E93" w:rsidP="002A3E93">
            <w:pPr>
              <w:pStyle w:val="Brdtext"/>
            </w:pPr>
            <w:r w:rsidRPr="00F525E0">
              <w:rPr>
                <w:highlight w:val="red"/>
              </w:rPr>
              <w:t>N/A</w:t>
            </w:r>
          </w:p>
          <w:p w:rsidR="002A3E93" w:rsidRPr="005A0577" w:rsidRDefault="002A3E93" w:rsidP="002A3E93">
            <w:pPr>
              <w:pStyle w:val="Brdtext"/>
            </w:pPr>
          </w:p>
          <w:p w:rsidR="002A3E93" w:rsidRPr="00AF04BE" w:rsidRDefault="002A3E93" w:rsidP="002A3E93">
            <w:pPr>
              <w:pStyle w:val="Brdtext"/>
              <w:rPr>
                <w:highlight w:val="green"/>
              </w:rPr>
            </w:pPr>
            <w:r w:rsidRPr="00AF04BE">
              <w:rPr>
                <w:highlight w:val="green"/>
              </w:rPr>
              <w:t>83.3</w:t>
            </w:r>
          </w:p>
          <w:p w:rsidR="002A3E93" w:rsidRPr="00AF04BE" w:rsidRDefault="002A3E93" w:rsidP="002A3E93">
            <w:pPr>
              <w:pStyle w:val="Brdtext"/>
              <w:rPr>
                <w:highlight w:val="green"/>
              </w:rPr>
            </w:pPr>
          </w:p>
          <w:p w:rsidR="002A3E93" w:rsidRPr="008726EC" w:rsidRDefault="002A3E93" w:rsidP="002A3E93">
            <w:pPr>
              <w:pStyle w:val="Brdtext"/>
              <w:rPr>
                <w:highlight w:val="yellow"/>
              </w:rPr>
            </w:pPr>
            <w:r w:rsidRPr="00AF04BE">
              <w:rPr>
                <w:highlight w:val="green"/>
              </w:rPr>
              <w:t>100</w:t>
            </w:r>
          </w:p>
        </w:tc>
        <w:tc>
          <w:tcPr>
            <w:tcW w:w="1871" w:type="dxa"/>
            <w:noWrap/>
          </w:tcPr>
          <w:p w:rsidR="002A3E93" w:rsidRDefault="002A3E93" w:rsidP="002A3E93">
            <w:pPr>
              <w:pStyle w:val="Brdtext"/>
            </w:pPr>
          </w:p>
          <w:p w:rsidR="003F77BA" w:rsidRDefault="003F77BA" w:rsidP="002A3E93">
            <w:pPr>
              <w:pStyle w:val="Brdtext"/>
            </w:pPr>
          </w:p>
          <w:p w:rsidR="003F77BA" w:rsidRDefault="003F77BA" w:rsidP="002A3E93">
            <w:pPr>
              <w:pStyle w:val="Brdtext"/>
            </w:pPr>
          </w:p>
          <w:p w:rsidR="003F77BA" w:rsidRDefault="003F77BA" w:rsidP="002A3E93">
            <w:pPr>
              <w:pStyle w:val="Brdtext"/>
            </w:pPr>
          </w:p>
          <w:p w:rsidR="003F77BA" w:rsidRPr="00324325" w:rsidRDefault="003F77BA" w:rsidP="002A3E93">
            <w:pPr>
              <w:pStyle w:val="Brdtext"/>
            </w:pPr>
            <w:proofErr w:type="spellStart"/>
            <w:r>
              <w:t>Evidence</w:t>
            </w:r>
            <w:proofErr w:type="spellEnd"/>
            <w:r>
              <w:t xml:space="preserve"> not </w:t>
            </w:r>
            <w:proofErr w:type="spellStart"/>
            <w:r>
              <w:t>provided</w:t>
            </w:r>
            <w:proofErr w:type="spellEnd"/>
          </w:p>
        </w:tc>
      </w:tr>
    </w:tbl>
    <w:p w:rsidR="00324325" w:rsidRDefault="00324325" w:rsidP="00324325">
      <w:pPr>
        <w:pStyle w:val="Brdtext"/>
      </w:pPr>
    </w:p>
    <w:p w:rsidR="00616C61" w:rsidRDefault="00C411B1" w:rsidP="00324325">
      <w:pPr>
        <w:pStyle w:val="Brdtext"/>
      </w:pPr>
      <w:r>
        <w:t xml:space="preserve">Det är ingen hemlighet att KTH har ojämn könsfördelning sett till såväl studenter, fakultet och forskare samt administration, varför det är svårt att hävda sig i denna SDG. Såväl andelsmässigt </w:t>
      </w:r>
      <w:r w:rsidR="0037667F">
        <w:t>som</w:t>
      </w:r>
      <w:r>
        <w:t xml:space="preserve"> volymmässigt torde KTH:s forskning inom jämlikhet var</w:t>
      </w:r>
      <w:r w:rsidR="005D4219">
        <w:t>a</w:t>
      </w:r>
      <w:r>
        <w:t xml:space="preserve"> relativt begränsad jämfört med större bredduniversitet</w:t>
      </w:r>
      <w:r w:rsidR="00616C61">
        <w:t xml:space="preserve"> samt att andelen kvinnliga författare/ forskare torde vara högre på de flesta bredduniversitet</w:t>
      </w:r>
      <w:r>
        <w:t xml:space="preserve">. </w:t>
      </w:r>
    </w:p>
    <w:p w:rsidR="001A2D76" w:rsidRDefault="00C411B1" w:rsidP="00324325">
      <w:pPr>
        <w:pStyle w:val="Brdtext"/>
      </w:pPr>
      <w:r>
        <w:t xml:space="preserve">Förbättringsmöjligheter finns naturligtvis sett till det arbete </w:t>
      </w:r>
      <w:r w:rsidR="005D4219">
        <w:t xml:space="preserve">som </w:t>
      </w:r>
      <w:r w:rsidR="00616C61">
        <w:t xml:space="preserve">faktiskt </w:t>
      </w:r>
      <w:r w:rsidR="005D4219">
        <w:t xml:space="preserve">pågår både </w:t>
      </w:r>
      <w:r>
        <w:t>för att få en jämnare könsfördelning</w:t>
      </w:r>
      <w:r w:rsidR="005D4219">
        <w:t xml:space="preserve"> bland anställda och</w:t>
      </w:r>
      <w:r>
        <w:t xml:space="preserve"> att locka kvinnor att studera på KTH. </w:t>
      </w:r>
      <w:r w:rsidR="000B3DF0">
        <w:t xml:space="preserve">En nackdel för KTH är att i rankningen är </w:t>
      </w:r>
      <w:r w:rsidR="00AB475B">
        <w:t xml:space="preserve">att </w:t>
      </w:r>
      <w:r w:rsidR="000B3DF0">
        <w:t xml:space="preserve">det en fördel att bedriva </w:t>
      </w:r>
      <w:r w:rsidR="00C970BF">
        <w:t>förskole</w:t>
      </w:r>
      <w:r w:rsidR="000B3DF0">
        <w:t xml:space="preserve">verksamhet i egen regi. </w:t>
      </w:r>
      <w:r w:rsidR="007D0CA0">
        <w:t>I</w:t>
      </w:r>
      <w:r w:rsidR="00755C1D">
        <w:t xml:space="preserve"> internationell jämförelse</w:t>
      </w:r>
      <w:r w:rsidR="007D0CA0">
        <w:t xml:space="preserve"> har en </w:t>
      </w:r>
      <w:r w:rsidR="00E64957">
        <w:t>hög</w:t>
      </w:r>
      <w:r w:rsidR="007D0CA0">
        <w:t xml:space="preserve"> andel av befolkningen i Sverige genomgått en högskoleutbildning, vilket medför att det är svårt att hävda sig inom mått som mäter andelen personer som kommer från hem där ingen av föräldrarna</w:t>
      </w:r>
      <w:r w:rsidR="00616C61">
        <w:t xml:space="preserve"> tidigare</w:t>
      </w:r>
      <w:r w:rsidR="007D0CA0">
        <w:t xml:space="preserve"> studerat på universitet eller högskola. </w:t>
      </w:r>
    </w:p>
    <w:p w:rsidR="003F77BA" w:rsidRPr="003F77BA" w:rsidRDefault="003F77BA" w:rsidP="003F77BA">
      <w:pPr>
        <w:pStyle w:val="Brdtext"/>
      </w:pPr>
      <w:r w:rsidRPr="003F77BA">
        <w:lastRenderedPageBreak/>
        <w:t>En policy krävs för att få full poäng inom d</w:t>
      </w:r>
      <w:r>
        <w:t xml:space="preserve">e indikatorer som efterfrågar en policy. </w:t>
      </w:r>
    </w:p>
    <w:p w:rsidR="00156524" w:rsidRPr="003F77BA" w:rsidRDefault="00156524" w:rsidP="00324325">
      <w:pPr>
        <w:pStyle w:val="Brdtext"/>
      </w:pPr>
    </w:p>
    <w:p w:rsidR="00324325" w:rsidRPr="00285443" w:rsidRDefault="00324325" w:rsidP="000C272F">
      <w:pPr>
        <w:pStyle w:val="Rubrik3"/>
        <w:rPr>
          <w:lang w:val="en-US"/>
        </w:rPr>
      </w:pPr>
      <w:bookmarkStart w:id="6" w:name="_Toc52351574"/>
      <w:r w:rsidRPr="00285443">
        <w:rPr>
          <w:lang w:val="en-US"/>
        </w:rPr>
        <w:t>SDG 6</w:t>
      </w:r>
      <w:r w:rsidR="00AF18C7" w:rsidRPr="00285443">
        <w:rPr>
          <w:lang w:val="en-US"/>
        </w:rPr>
        <w:t xml:space="preserve"> Clean Water and Sanitation</w:t>
      </w:r>
      <w:bookmarkEnd w:id="6"/>
    </w:p>
    <w:tbl>
      <w:tblPr>
        <w:tblStyle w:val="Tabellrutnt"/>
        <w:tblW w:w="0" w:type="auto"/>
        <w:tblLook w:val="04A0" w:firstRow="1" w:lastRow="0" w:firstColumn="1" w:lastColumn="0" w:noHBand="0" w:noVBand="1"/>
      </w:tblPr>
      <w:tblGrid>
        <w:gridCol w:w="3909"/>
        <w:gridCol w:w="1723"/>
        <w:gridCol w:w="920"/>
        <w:gridCol w:w="1871"/>
      </w:tblGrid>
      <w:tr w:rsidR="002A3E93" w:rsidRPr="00324325" w:rsidTr="00B26273">
        <w:trPr>
          <w:trHeight w:val="315"/>
        </w:trPr>
        <w:tc>
          <w:tcPr>
            <w:tcW w:w="3909" w:type="dxa"/>
            <w:noWrap/>
          </w:tcPr>
          <w:p w:rsidR="002A3E93" w:rsidRPr="001A24C6" w:rsidRDefault="002A3E93" w:rsidP="002A3E93">
            <w:pPr>
              <w:pStyle w:val="Brdtext"/>
              <w:rPr>
                <w:b/>
                <w:lang w:val="en-US"/>
              </w:rPr>
            </w:pPr>
            <w:proofErr w:type="spellStart"/>
            <w:r w:rsidRPr="001A24C6">
              <w:rPr>
                <w:b/>
                <w:lang w:val="en-US"/>
              </w:rPr>
              <w:t>Indikator</w:t>
            </w:r>
            <w:proofErr w:type="spellEnd"/>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71"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B26273">
        <w:trPr>
          <w:trHeight w:val="315"/>
        </w:trPr>
        <w:tc>
          <w:tcPr>
            <w:tcW w:w="3909" w:type="dxa"/>
            <w:noWrap/>
            <w:hideMark/>
          </w:tcPr>
          <w:p w:rsidR="002A3E93" w:rsidRPr="008E44BF" w:rsidRDefault="002A3E93" w:rsidP="002A3E93">
            <w:pPr>
              <w:pStyle w:val="Brdtext"/>
              <w:rPr>
                <w:b/>
                <w:lang w:val="en-US"/>
              </w:rPr>
            </w:pPr>
            <w:r w:rsidRPr="008E44BF">
              <w:rPr>
                <w:b/>
                <w:highlight w:val="yellow"/>
                <w:lang w:val="en-US"/>
              </w:rPr>
              <w:t>Research on water</w:t>
            </w:r>
          </w:p>
          <w:p w:rsidR="002A3E93" w:rsidRPr="00787319" w:rsidRDefault="002A3E93" w:rsidP="002A3E93">
            <w:pPr>
              <w:pStyle w:val="Brdtext"/>
              <w:rPr>
                <w:highlight w:val="yellow"/>
                <w:lang w:val="en-US"/>
              </w:rPr>
            </w:pPr>
            <w:r w:rsidRPr="00787319">
              <w:rPr>
                <w:highlight w:val="yellow"/>
                <w:lang w:val="en-US"/>
              </w:rPr>
              <w:t xml:space="preserve">Proportion of papers in the top 10 per cent of journals as defined by </w:t>
            </w:r>
            <w:proofErr w:type="spellStart"/>
            <w:r w:rsidRPr="00787319">
              <w:rPr>
                <w:highlight w:val="yellow"/>
                <w:lang w:val="en-US"/>
              </w:rPr>
              <w:t>Citescore</w:t>
            </w:r>
            <w:proofErr w:type="spellEnd"/>
            <w:r w:rsidRPr="00787319">
              <w:rPr>
                <w:highlight w:val="yellow"/>
                <w:lang w:val="en-US"/>
              </w:rPr>
              <w:t xml:space="preserve"> (10%)</w:t>
            </w:r>
          </w:p>
          <w:p w:rsidR="002A3E93" w:rsidRPr="00787319" w:rsidRDefault="002A3E93" w:rsidP="002A3E93">
            <w:pPr>
              <w:pStyle w:val="Brdtext"/>
              <w:rPr>
                <w:highlight w:val="yellow"/>
                <w:lang w:val="en-US"/>
              </w:rPr>
            </w:pPr>
            <w:r w:rsidRPr="00787319">
              <w:rPr>
                <w:highlight w:val="yellow"/>
                <w:lang w:val="en-US"/>
              </w:rPr>
              <w:t>Field-weighted citation index of papers (10%)</w:t>
            </w:r>
          </w:p>
          <w:p w:rsidR="002A3E93" w:rsidRPr="008726EC" w:rsidRDefault="002A3E93" w:rsidP="002A3E93">
            <w:pPr>
              <w:pStyle w:val="Brdtext"/>
              <w:rPr>
                <w:highlight w:val="yellow"/>
              </w:rPr>
            </w:pPr>
            <w:proofErr w:type="spellStart"/>
            <w:r w:rsidRPr="00AB475B">
              <w:rPr>
                <w:highlight w:val="green"/>
              </w:rPr>
              <w:t>Number</w:t>
            </w:r>
            <w:proofErr w:type="spellEnd"/>
            <w:r w:rsidRPr="00AB475B">
              <w:rPr>
                <w:highlight w:val="green"/>
              </w:rPr>
              <w:t xml:space="preserve"> of </w:t>
            </w:r>
            <w:proofErr w:type="spellStart"/>
            <w:r w:rsidRPr="00AB475B">
              <w:rPr>
                <w:highlight w:val="green"/>
              </w:rPr>
              <w:t>publications</w:t>
            </w:r>
            <w:proofErr w:type="spellEnd"/>
            <w:r w:rsidRPr="00AB475B">
              <w:rPr>
                <w:highlight w:val="green"/>
              </w:rPr>
              <w:t xml:space="preserve"> (7%)</w:t>
            </w:r>
          </w:p>
        </w:tc>
        <w:tc>
          <w:tcPr>
            <w:tcW w:w="1723" w:type="dxa"/>
            <w:noWrap/>
            <w:hideMark/>
          </w:tcPr>
          <w:p w:rsidR="002A3E93" w:rsidRPr="0053219A" w:rsidRDefault="002A3E93" w:rsidP="002A3E93">
            <w:pPr>
              <w:pStyle w:val="Brdtext"/>
              <w:rPr>
                <w:b/>
                <w:highlight w:val="yellow"/>
              </w:rPr>
            </w:pPr>
            <w:r w:rsidRPr="0053219A">
              <w:rPr>
                <w:b/>
                <w:highlight w:val="yellow"/>
              </w:rPr>
              <w:t>27%</w:t>
            </w:r>
          </w:p>
        </w:tc>
        <w:tc>
          <w:tcPr>
            <w:tcW w:w="920" w:type="dxa"/>
            <w:noWrap/>
            <w:hideMark/>
          </w:tcPr>
          <w:p w:rsidR="002A3E93" w:rsidRPr="0053219A" w:rsidRDefault="002A3E93" w:rsidP="002A3E93">
            <w:pPr>
              <w:pStyle w:val="Brdtext"/>
              <w:rPr>
                <w:b/>
                <w:highlight w:val="yellow"/>
              </w:rPr>
            </w:pPr>
            <w:r w:rsidRPr="0053219A">
              <w:rPr>
                <w:b/>
                <w:highlight w:val="yellow"/>
              </w:rPr>
              <w:t>79.5</w:t>
            </w:r>
          </w:p>
          <w:p w:rsidR="002A3E93" w:rsidRPr="001B464D" w:rsidRDefault="002A3E93" w:rsidP="002A3E93">
            <w:pPr>
              <w:pStyle w:val="Brdtext"/>
              <w:rPr>
                <w:highlight w:val="yellow"/>
              </w:rPr>
            </w:pPr>
            <w:r w:rsidRPr="001B464D">
              <w:rPr>
                <w:highlight w:val="yellow"/>
              </w:rPr>
              <w:t>69.3</w:t>
            </w:r>
          </w:p>
          <w:p w:rsidR="002A3E93" w:rsidRPr="001B464D" w:rsidRDefault="002A3E93" w:rsidP="002A3E93">
            <w:pPr>
              <w:pStyle w:val="Brdtext"/>
              <w:rPr>
                <w:highlight w:val="yellow"/>
              </w:rPr>
            </w:pPr>
          </w:p>
          <w:p w:rsidR="002A3E93" w:rsidRPr="0057037E" w:rsidRDefault="002A3E93" w:rsidP="002A3E93">
            <w:pPr>
              <w:pStyle w:val="Brdtext"/>
            </w:pPr>
            <w:r w:rsidRPr="001B464D">
              <w:rPr>
                <w:highlight w:val="yellow"/>
              </w:rPr>
              <w:t>75.8</w:t>
            </w:r>
          </w:p>
          <w:p w:rsidR="002A3E93" w:rsidRPr="008726EC" w:rsidRDefault="002A3E93" w:rsidP="002A3E93">
            <w:pPr>
              <w:pStyle w:val="Brdtext"/>
              <w:rPr>
                <w:highlight w:val="yellow"/>
              </w:rPr>
            </w:pPr>
            <w:r w:rsidRPr="00AF04BE">
              <w:rPr>
                <w:highlight w:val="green"/>
              </w:rPr>
              <w:t>99.4</w:t>
            </w:r>
          </w:p>
        </w:tc>
        <w:tc>
          <w:tcPr>
            <w:tcW w:w="1871" w:type="dxa"/>
            <w:noWrap/>
            <w:hideMark/>
          </w:tcPr>
          <w:p w:rsidR="002A3E93" w:rsidRPr="0053219A" w:rsidRDefault="002A3E93" w:rsidP="002A3E93">
            <w:pPr>
              <w:pStyle w:val="Brdtext"/>
              <w:rPr>
                <w:b/>
              </w:rPr>
            </w:pPr>
            <w:r w:rsidRPr="0053219A">
              <w:rPr>
                <w:b/>
              </w:rPr>
              <w:t>101–200</w:t>
            </w:r>
          </w:p>
        </w:tc>
      </w:tr>
      <w:tr w:rsidR="002A3E93" w:rsidRPr="00324325" w:rsidTr="00B26273">
        <w:trPr>
          <w:trHeight w:val="315"/>
        </w:trPr>
        <w:tc>
          <w:tcPr>
            <w:tcW w:w="3909" w:type="dxa"/>
            <w:noWrap/>
            <w:hideMark/>
          </w:tcPr>
          <w:p w:rsidR="002A3E93" w:rsidRPr="008E44BF" w:rsidRDefault="002A3E93" w:rsidP="002A3E93">
            <w:pPr>
              <w:pStyle w:val="Brdtext"/>
              <w:rPr>
                <w:b/>
                <w:highlight w:val="red"/>
              </w:rPr>
            </w:pPr>
            <w:proofErr w:type="spellStart"/>
            <w:r w:rsidRPr="008E44BF">
              <w:rPr>
                <w:b/>
                <w:highlight w:val="red"/>
              </w:rPr>
              <w:t>Water</w:t>
            </w:r>
            <w:proofErr w:type="spellEnd"/>
            <w:r w:rsidRPr="008E44BF">
              <w:rPr>
                <w:b/>
                <w:highlight w:val="red"/>
              </w:rPr>
              <w:t xml:space="preserve"> </w:t>
            </w:r>
            <w:proofErr w:type="spellStart"/>
            <w:r w:rsidRPr="008E44BF">
              <w:rPr>
                <w:b/>
                <w:highlight w:val="red"/>
              </w:rPr>
              <w:t>consumption</w:t>
            </w:r>
            <w:proofErr w:type="spellEnd"/>
            <w:r w:rsidRPr="008E44BF">
              <w:rPr>
                <w:b/>
                <w:highlight w:val="red"/>
              </w:rPr>
              <w:t xml:space="preserve"> per person</w:t>
            </w:r>
          </w:p>
        </w:tc>
        <w:tc>
          <w:tcPr>
            <w:tcW w:w="1723" w:type="dxa"/>
            <w:noWrap/>
            <w:hideMark/>
          </w:tcPr>
          <w:p w:rsidR="002A3E93" w:rsidRPr="0053219A" w:rsidRDefault="002A3E93" w:rsidP="002A3E93">
            <w:pPr>
              <w:pStyle w:val="Brdtext"/>
              <w:rPr>
                <w:b/>
                <w:highlight w:val="red"/>
              </w:rPr>
            </w:pPr>
            <w:r w:rsidRPr="0053219A">
              <w:rPr>
                <w:b/>
                <w:highlight w:val="red"/>
              </w:rPr>
              <w:t>19%</w:t>
            </w:r>
          </w:p>
        </w:tc>
        <w:tc>
          <w:tcPr>
            <w:tcW w:w="920" w:type="dxa"/>
            <w:noWrap/>
            <w:hideMark/>
          </w:tcPr>
          <w:p w:rsidR="002A3E93" w:rsidRPr="0053219A" w:rsidRDefault="002A3E93" w:rsidP="002A3E93">
            <w:pPr>
              <w:pStyle w:val="Brdtext"/>
              <w:rPr>
                <w:b/>
                <w:highlight w:val="red"/>
              </w:rPr>
            </w:pPr>
            <w:r w:rsidRPr="0053219A">
              <w:rPr>
                <w:b/>
                <w:highlight w:val="red"/>
              </w:rPr>
              <w:t>37.2</w:t>
            </w:r>
          </w:p>
        </w:tc>
        <w:tc>
          <w:tcPr>
            <w:tcW w:w="1871" w:type="dxa"/>
            <w:noWrap/>
          </w:tcPr>
          <w:p w:rsidR="002A3E93" w:rsidRPr="00324325" w:rsidRDefault="002A3E93" w:rsidP="002A3E93">
            <w:pPr>
              <w:pStyle w:val="Brdtext"/>
            </w:pPr>
          </w:p>
        </w:tc>
      </w:tr>
      <w:tr w:rsidR="002A3E93" w:rsidRPr="00324325" w:rsidTr="00B26273">
        <w:trPr>
          <w:trHeight w:val="315"/>
        </w:trPr>
        <w:tc>
          <w:tcPr>
            <w:tcW w:w="3909" w:type="dxa"/>
            <w:noWrap/>
            <w:hideMark/>
          </w:tcPr>
          <w:p w:rsidR="002A3E93" w:rsidRPr="008E44BF" w:rsidRDefault="002A3E93" w:rsidP="002A3E93">
            <w:pPr>
              <w:pStyle w:val="Brdtext"/>
              <w:rPr>
                <w:b/>
                <w:highlight w:val="red"/>
                <w:lang w:val="en-US"/>
              </w:rPr>
            </w:pPr>
            <w:r w:rsidRPr="008E44BF">
              <w:rPr>
                <w:b/>
                <w:highlight w:val="red"/>
                <w:lang w:val="en-US"/>
              </w:rPr>
              <w:t>Water care</w:t>
            </w:r>
          </w:p>
          <w:p w:rsidR="002A3E93" w:rsidRPr="00787319" w:rsidRDefault="002A3E93" w:rsidP="002A3E93">
            <w:pPr>
              <w:pStyle w:val="Brdtext"/>
              <w:rPr>
                <w:highlight w:val="red"/>
                <w:lang w:val="en-US"/>
              </w:rPr>
            </w:pPr>
            <w:r w:rsidRPr="00787319">
              <w:rPr>
                <w:highlight w:val="red"/>
                <w:lang w:val="en-US"/>
              </w:rPr>
              <w:t>Process to treat wastewater (4.6%)</w:t>
            </w:r>
          </w:p>
          <w:p w:rsidR="002A3E93" w:rsidRPr="00787319" w:rsidRDefault="002A3E93" w:rsidP="002A3E93">
            <w:pPr>
              <w:pStyle w:val="Brdtext"/>
              <w:rPr>
                <w:highlight w:val="red"/>
                <w:lang w:val="en-US"/>
              </w:rPr>
            </w:pPr>
            <w:r w:rsidRPr="00787319">
              <w:rPr>
                <w:highlight w:val="red"/>
                <w:lang w:val="en-US"/>
              </w:rPr>
              <w:t>Process to prevent polluted water entering water system (4.6%)</w:t>
            </w:r>
          </w:p>
          <w:p w:rsidR="002A3E93" w:rsidRPr="00787319" w:rsidRDefault="002A3E93" w:rsidP="002A3E93">
            <w:pPr>
              <w:pStyle w:val="Brdtext"/>
              <w:rPr>
                <w:highlight w:val="red"/>
                <w:lang w:val="en-US"/>
              </w:rPr>
            </w:pPr>
            <w:r w:rsidRPr="00787319">
              <w:rPr>
                <w:highlight w:val="red"/>
                <w:lang w:val="en-US"/>
              </w:rPr>
              <w:t>Free drinking water for students, staff and visitors (4.6%)</w:t>
            </w:r>
          </w:p>
          <w:p w:rsidR="002A3E93" w:rsidRPr="00787319" w:rsidRDefault="002A3E93" w:rsidP="002A3E93">
            <w:pPr>
              <w:pStyle w:val="Brdtext"/>
              <w:rPr>
                <w:highlight w:val="red"/>
                <w:lang w:val="en-US"/>
              </w:rPr>
            </w:pPr>
            <w:r w:rsidRPr="00787319">
              <w:rPr>
                <w:highlight w:val="red"/>
                <w:lang w:val="en-US"/>
              </w:rPr>
              <w:t xml:space="preserve">Building standards to </w:t>
            </w:r>
            <w:proofErr w:type="spellStart"/>
            <w:r w:rsidRPr="00787319">
              <w:rPr>
                <w:highlight w:val="red"/>
                <w:lang w:val="en-US"/>
              </w:rPr>
              <w:t>minimise</w:t>
            </w:r>
            <w:proofErr w:type="spellEnd"/>
            <w:r w:rsidRPr="00787319">
              <w:rPr>
                <w:highlight w:val="red"/>
                <w:lang w:val="en-US"/>
              </w:rPr>
              <w:t xml:space="preserve"> water use (4.6%)</w:t>
            </w:r>
          </w:p>
          <w:p w:rsidR="002A3E93" w:rsidRPr="00787319" w:rsidRDefault="002A3E93" w:rsidP="002A3E93">
            <w:pPr>
              <w:pStyle w:val="Brdtext"/>
              <w:rPr>
                <w:highlight w:val="red"/>
                <w:lang w:val="en-US"/>
              </w:rPr>
            </w:pPr>
            <w:r w:rsidRPr="00787319">
              <w:rPr>
                <w:highlight w:val="red"/>
                <w:lang w:val="en-US"/>
              </w:rPr>
              <w:t xml:space="preserve">Plant landscapes to </w:t>
            </w:r>
            <w:proofErr w:type="spellStart"/>
            <w:r w:rsidRPr="00787319">
              <w:rPr>
                <w:highlight w:val="red"/>
                <w:lang w:val="en-US"/>
              </w:rPr>
              <w:t>minimise</w:t>
            </w:r>
            <w:proofErr w:type="spellEnd"/>
            <w:r w:rsidRPr="00787319">
              <w:rPr>
                <w:highlight w:val="red"/>
                <w:lang w:val="en-US"/>
              </w:rPr>
              <w:t xml:space="preserve"> water usage (4.6%)</w:t>
            </w:r>
          </w:p>
        </w:tc>
        <w:tc>
          <w:tcPr>
            <w:tcW w:w="1723" w:type="dxa"/>
            <w:noWrap/>
            <w:hideMark/>
          </w:tcPr>
          <w:p w:rsidR="002A3E93" w:rsidRPr="0053219A" w:rsidRDefault="002A3E93" w:rsidP="002A3E93">
            <w:pPr>
              <w:pStyle w:val="Brdtext"/>
              <w:rPr>
                <w:b/>
                <w:highlight w:val="red"/>
              </w:rPr>
            </w:pPr>
            <w:r w:rsidRPr="0053219A">
              <w:rPr>
                <w:b/>
                <w:highlight w:val="red"/>
              </w:rPr>
              <w:t>23%</w:t>
            </w:r>
          </w:p>
        </w:tc>
        <w:tc>
          <w:tcPr>
            <w:tcW w:w="920" w:type="dxa"/>
            <w:noWrap/>
            <w:hideMark/>
          </w:tcPr>
          <w:p w:rsidR="002A3E93" w:rsidRPr="0053219A" w:rsidRDefault="002A3E93" w:rsidP="002A3E93">
            <w:pPr>
              <w:pStyle w:val="Brdtext"/>
              <w:rPr>
                <w:b/>
                <w:highlight w:val="red"/>
              </w:rPr>
            </w:pPr>
            <w:r w:rsidRPr="0053219A">
              <w:rPr>
                <w:b/>
                <w:highlight w:val="red"/>
              </w:rPr>
              <w:t>33.3</w:t>
            </w:r>
          </w:p>
          <w:p w:rsidR="002A3E93" w:rsidRPr="00F525E0" w:rsidRDefault="002A3E93" w:rsidP="002A3E93">
            <w:pPr>
              <w:pStyle w:val="Brdtext"/>
              <w:rPr>
                <w:highlight w:val="red"/>
              </w:rPr>
            </w:pPr>
            <w:r w:rsidRPr="00F525E0">
              <w:rPr>
                <w:highlight w:val="red"/>
              </w:rPr>
              <w:t>33,3</w:t>
            </w:r>
          </w:p>
          <w:p w:rsidR="002A3E93" w:rsidRPr="00F525E0" w:rsidRDefault="002A3E93" w:rsidP="002A3E93">
            <w:pPr>
              <w:pStyle w:val="Brdtext"/>
              <w:rPr>
                <w:highlight w:val="red"/>
              </w:rPr>
            </w:pPr>
            <w:r w:rsidRPr="00F525E0">
              <w:rPr>
                <w:highlight w:val="red"/>
              </w:rPr>
              <w:t>33,3</w:t>
            </w:r>
          </w:p>
          <w:p w:rsidR="002A3E93" w:rsidRPr="00F525E0" w:rsidRDefault="002A3E93" w:rsidP="002A3E93">
            <w:pPr>
              <w:pStyle w:val="Brdtext"/>
              <w:rPr>
                <w:highlight w:val="red"/>
              </w:rPr>
            </w:pPr>
          </w:p>
          <w:p w:rsidR="002A3E93" w:rsidRPr="00F525E0" w:rsidRDefault="002A3E93" w:rsidP="002A3E93">
            <w:pPr>
              <w:pStyle w:val="Brdtext"/>
              <w:rPr>
                <w:highlight w:val="red"/>
              </w:rPr>
            </w:pPr>
            <w:r w:rsidRPr="00F525E0">
              <w:rPr>
                <w:highlight w:val="red"/>
              </w:rPr>
              <w:t>33,3</w:t>
            </w:r>
          </w:p>
          <w:p w:rsidR="002A3E93" w:rsidRPr="00F525E0" w:rsidRDefault="002A3E93" w:rsidP="002A3E93">
            <w:pPr>
              <w:pStyle w:val="Brdtext"/>
              <w:rPr>
                <w:highlight w:val="red"/>
              </w:rPr>
            </w:pPr>
            <w:r w:rsidRPr="00F525E0">
              <w:rPr>
                <w:highlight w:val="red"/>
              </w:rPr>
              <w:t>33,3</w:t>
            </w:r>
          </w:p>
          <w:p w:rsidR="002A3E93" w:rsidRPr="00F525E0" w:rsidRDefault="002A3E93" w:rsidP="002A3E93">
            <w:pPr>
              <w:pStyle w:val="Brdtext"/>
              <w:rPr>
                <w:highlight w:val="red"/>
              </w:rPr>
            </w:pPr>
          </w:p>
          <w:p w:rsidR="002A3E93" w:rsidRPr="008726EC" w:rsidRDefault="002A3E93" w:rsidP="002A3E93">
            <w:pPr>
              <w:pStyle w:val="Brdtext"/>
              <w:rPr>
                <w:highlight w:val="red"/>
              </w:rPr>
            </w:pPr>
            <w:r w:rsidRPr="00F525E0">
              <w:rPr>
                <w:highlight w:val="red"/>
              </w:rPr>
              <w:t>33,3</w:t>
            </w:r>
          </w:p>
        </w:tc>
        <w:tc>
          <w:tcPr>
            <w:tcW w:w="1871" w:type="dxa"/>
            <w:noWrap/>
          </w:tcPr>
          <w:p w:rsidR="002A3E93" w:rsidRDefault="002A3E93" w:rsidP="002A3E93">
            <w:pPr>
              <w:pStyle w:val="Brdtext"/>
            </w:pPr>
          </w:p>
          <w:p w:rsidR="002A3E93" w:rsidRPr="00324325" w:rsidRDefault="002A3E93" w:rsidP="002A3E93">
            <w:pPr>
              <w:pStyle w:val="Brdtext"/>
            </w:pPr>
            <w:proofErr w:type="spellStart"/>
            <w:r>
              <w:t>Evidence</w:t>
            </w:r>
            <w:proofErr w:type="spellEnd"/>
            <w:r>
              <w:t xml:space="preserve"> not </w:t>
            </w:r>
            <w:proofErr w:type="spellStart"/>
            <w:r>
              <w:t>provided</w:t>
            </w:r>
            <w:proofErr w:type="spellEnd"/>
            <w:r>
              <w:t xml:space="preserve"> för samtliga</w:t>
            </w:r>
          </w:p>
        </w:tc>
      </w:tr>
      <w:tr w:rsidR="002A3E93" w:rsidRPr="00324325" w:rsidTr="00B26273">
        <w:trPr>
          <w:trHeight w:val="315"/>
        </w:trPr>
        <w:tc>
          <w:tcPr>
            <w:tcW w:w="3909" w:type="dxa"/>
            <w:noWrap/>
            <w:hideMark/>
          </w:tcPr>
          <w:p w:rsidR="002A3E93" w:rsidRPr="008E44BF" w:rsidRDefault="002A3E93" w:rsidP="002A3E93">
            <w:pPr>
              <w:pStyle w:val="Brdtext"/>
              <w:rPr>
                <w:b/>
                <w:highlight w:val="red"/>
                <w:lang w:val="en-US"/>
              </w:rPr>
            </w:pPr>
            <w:r w:rsidRPr="008E44BF">
              <w:rPr>
                <w:b/>
                <w:highlight w:val="red"/>
                <w:lang w:val="en-US"/>
              </w:rPr>
              <w:t>Proportion of reused or recycled water (12%)</w:t>
            </w:r>
          </w:p>
        </w:tc>
        <w:tc>
          <w:tcPr>
            <w:tcW w:w="1723" w:type="dxa"/>
            <w:noWrap/>
            <w:hideMark/>
          </w:tcPr>
          <w:p w:rsidR="002A3E93" w:rsidRPr="008726EC" w:rsidRDefault="002A3E93" w:rsidP="002A3E93">
            <w:pPr>
              <w:pStyle w:val="Brdtext"/>
              <w:rPr>
                <w:highlight w:val="red"/>
              </w:rPr>
            </w:pPr>
            <w:r w:rsidRPr="008726EC">
              <w:rPr>
                <w:highlight w:val="red"/>
              </w:rPr>
              <w:t>12</w:t>
            </w:r>
            <w:r>
              <w:rPr>
                <w:highlight w:val="red"/>
              </w:rPr>
              <w:t>%</w:t>
            </w:r>
          </w:p>
        </w:tc>
        <w:tc>
          <w:tcPr>
            <w:tcW w:w="920" w:type="dxa"/>
            <w:noWrap/>
            <w:hideMark/>
          </w:tcPr>
          <w:p w:rsidR="002A3E93" w:rsidRPr="008726EC" w:rsidRDefault="002A3E93" w:rsidP="002A3E93">
            <w:pPr>
              <w:pStyle w:val="Brdtext"/>
              <w:rPr>
                <w:highlight w:val="red"/>
              </w:rPr>
            </w:pPr>
            <w:r w:rsidRPr="008726EC">
              <w:rPr>
                <w:highlight w:val="red"/>
              </w:rPr>
              <w:t>0</w:t>
            </w:r>
          </w:p>
        </w:tc>
        <w:tc>
          <w:tcPr>
            <w:tcW w:w="1871" w:type="dxa"/>
            <w:noWrap/>
          </w:tcPr>
          <w:p w:rsidR="002A3E93" w:rsidRPr="00324325" w:rsidRDefault="002A3E93" w:rsidP="002A3E93">
            <w:pPr>
              <w:pStyle w:val="Brdtext"/>
            </w:pPr>
          </w:p>
        </w:tc>
      </w:tr>
      <w:tr w:rsidR="002A3E93" w:rsidRPr="003D1884" w:rsidTr="00B26273">
        <w:trPr>
          <w:trHeight w:val="315"/>
        </w:trPr>
        <w:tc>
          <w:tcPr>
            <w:tcW w:w="3909" w:type="dxa"/>
            <w:noWrap/>
            <w:hideMark/>
          </w:tcPr>
          <w:p w:rsidR="002A3E93" w:rsidRPr="008E44BF" w:rsidRDefault="002A3E93" w:rsidP="002A3E93">
            <w:pPr>
              <w:pStyle w:val="Brdtext"/>
              <w:rPr>
                <w:b/>
                <w:lang w:val="en-US"/>
              </w:rPr>
            </w:pPr>
            <w:r w:rsidRPr="008E44BF">
              <w:rPr>
                <w:b/>
                <w:highlight w:val="yellow"/>
                <w:lang w:val="en-US"/>
              </w:rPr>
              <w:t>Water in the community</w:t>
            </w:r>
          </w:p>
          <w:p w:rsidR="002A3E93" w:rsidRPr="00AB475B" w:rsidRDefault="002A3E93" w:rsidP="002A3E93">
            <w:pPr>
              <w:pStyle w:val="Brdtext"/>
              <w:rPr>
                <w:highlight w:val="green"/>
                <w:lang w:val="en-US"/>
              </w:rPr>
            </w:pPr>
            <w:r w:rsidRPr="00AB475B">
              <w:rPr>
                <w:highlight w:val="green"/>
                <w:lang w:val="en-US"/>
              </w:rPr>
              <w:t>Educational opportunities for local communities to learn about good water management (3.8%)</w:t>
            </w:r>
          </w:p>
          <w:p w:rsidR="002A3E93" w:rsidRPr="00AB475B" w:rsidRDefault="002A3E93" w:rsidP="002A3E93">
            <w:pPr>
              <w:pStyle w:val="Brdtext"/>
              <w:rPr>
                <w:highlight w:val="red"/>
                <w:lang w:val="en-US"/>
              </w:rPr>
            </w:pPr>
            <w:r w:rsidRPr="00AB475B">
              <w:rPr>
                <w:highlight w:val="red"/>
                <w:lang w:val="en-US"/>
              </w:rPr>
              <w:t>Promote conscious water usage on campus and in wider community (3.8%)</w:t>
            </w:r>
          </w:p>
          <w:p w:rsidR="002A3E93" w:rsidRPr="00AB475B" w:rsidRDefault="002A3E93" w:rsidP="002A3E93">
            <w:pPr>
              <w:pStyle w:val="Brdtext"/>
              <w:rPr>
                <w:highlight w:val="green"/>
                <w:lang w:val="en-US"/>
              </w:rPr>
            </w:pPr>
            <w:r w:rsidRPr="00AB475B">
              <w:rPr>
                <w:highlight w:val="green"/>
                <w:lang w:val="en-US"/>
              </w:rPr>
              <w:t>Support water conservation off campus (3.8%)</w:t>
            </w:r>
          </w:p>
          <w:p w:rsidR="002A3E93" w:rsidRPr="00AB475B" w:rsidRDefault="002A3E93" w:rsidP="002A3E93">
            <w:pPr>
              <w:pStyle w:val="Brdtext"/>
              <w:rPr>
                <w:highlight w:val="red"/>
                <w:lang w:val="en-US"/>
              </w:rPr>
            </w:pPr>
            <w:r w:rsidRPr="00AB475B">
              <w:rPr>
                <w:highlight w:val="red"/>
                <w:lang w:val="en-US"/>
              </w:rPr>
              <w:lastRenderedPageBreak/>
              <w:t>Sustainable water extraction technologies on associated university grounds off campus (3.8%)</w:t>
            </w:r>
          </w:p>
          <w:p w:rsidR="002A3E93" w:rsidRPr="00787319" w:rsidRDefault="002A3E93" w:rsidP="002A3E93">
            <w:pPr>
              <w:pStyle w:val="Brdtext"/>
              <w:rPr>
                <w:lang w:val="en-US"/>
              </w:rPr>
            </w:pPr>
            <w:r w:rsidRPr="00AB475B">
              <w:rPr>
                <w:highlight w:val="red"/>
                <w:lang w:val="en-US"/>
              </w:rPr>
              <w:t>Cooperate with local, regional, national or global governments on water security (3.8%)</w:t>
            </w:r>
          </w:p>
        </w:tc>
        <w:tc>
          <w:tcPr>
            <w:tcW w:w="1723" w:type="dxa"/>
            <w:noWrap/>
            <w:hideMark/>
          </w:tcPr>
          <w:p w:rsidR="002A3E93" w:rsidRPr="0053219A" w:rsidRDefault="002A3E93" w:rsidP="002A3E93">
            <w:pPr>
              <w:pStyle w:val="Brdtext"/>
              <w:rPr>
                <w:b/>
                <w:highlight w:val="yellow"/>
              </w:rPr>
            </w:pPr>
            <w:r w:rsidRPr="0053219A">
              <w:rPr>
                <w:b/>
                <w:highlight w:val="yellow"/>
              </w:rPr>
              <w:lastRenderedPageBreak/>
              <w:t>19%</w:t>
            </w:r>
          </w:p>
        </w:tc>
        <w:tc>
          <w:tcPr>
            <w:tcW w:w="920" w:type="dxa"/>
            <w:noWrap/>
            <w:hideMark/>
          </w:tcPr>
          <w:p w:rsidR="002A3E93" w:rsidRPr="0053219A" w:rsidRDefault="002A3E93" w:rsidP="002A3E93">
            <w:pPr>
              <w:pStyle w:val="Brdtext"/>
              <w:rPr>
                <w:b/>
                <w:highlight w:val="yellow"/>
              </w:rPr>
            </w:pPr>
            <w:r w:rsidRPr="0053219A">
              <w:rPr>
                <w:b/>
                <w:highlight w:val="yellow"/>
              </w:rPr>
              <w:t>56.6</w:t>
            </w:r>
          </w:p>
          <w:p w:rsidR="002A3E93" w:rsidRPr="00C33300" w:rsidRDefault="002A3E93" w:rsidP="002A3E93">
            <w:pPr>
              <w:pStyle w:val="Brdtext"/>
            </w:pPr>
            <w:r w:rsidRPr="00AF04BE">
              <w:rPr>
                <w:highlight w:val="green"/>
              </w:rPr>
              <w:t>100</w:t>
            </w:r>
          </w:p>
          <w:p w:rsidR="002A3E93" w:rsidRPr="00C33300" w:rsidRDefault="002A3E93" w:rsidP="002A3E93">
            <w:pPr>
              <w:pStyle w:val="Brdtext"/>
            </w:pPr>
          </w:p>
          <w:p w:rsidR="002A3E93" w:rsidRPr="00C33300" w:rsidRDefault="002A3E93" w:rsidP="002A3E93">
            <w:pPr>
              <w:pStyle w:val="Brdtext"/>
            </w:pPr>
            <w:r w:rsidRPr="00F525E0">
              <w:rPr>
                <w:highlight w:val="red"/>
              </w:rPr>
              <w:t>33.3</w:t>
            </w:r>
          </w:p>
          <w:p w:rsidR="002A3E93" w:rsidRPr="00C33300" w:rsidRDefault="002A3E93" w:rsidP="002A3E93">
            <w:pPr>
              <w:pStyle w:val="Brdtext"/>
            </w:pPr>
          </w:p>
          <w:p w:rsidR="002A3E93" w:rsidRPr="00C33300" w:rsidRDefault="002A3E93" w:rsidP="002A3E93">
            <w:pPr>
              <w:pStyle w:val="Brdtext"/>
            </w:pPr>
            <w:r w:rsidRPr="0053219A">
              <w:rPr>
                <w:highlight w:val="green"/>
              </w:rPr>
              <w:t>83.3</w:t>
            </w:r>
          </w:p>
          <w:p w:rsidR="002A3E93" w:rsidRPr="00F525E0" w:rsidRDefault="002A3E93" w:rsidP="002A3E93">
            <w:pPr>
              <w:pStyle w:val="Brdtext"/>
              <w:rPr>
                <w:highlight w:val="red"/>
              </w:rPr>
            </w:pPr>
            <w:r w:rsidRPr="00F525E0">
              <w:rPr>
                <w:highlight w:val="red"/>
              </w:rPr>
              <w:lastRenderedPageBreak/>
              <w:t>33,3</w:t>
            </w:r>
          </w:p>
          <w:p w:rsidR="002A3E93" w:rsidRPr="00F525E0" w:rsidRDefault="002A3E93" w:rsidP="002A3E93">
            <w:pPr>
              <w:pStyle w:val="Brdtext"/>
              <w:rPr>
                <w:highlight w:val="red"/>
              </w:rPr>
            </w:pPr>
          </w:p>
          <w:p w:rsidR="002A3E93" w:rsidRPr="008726EC" w:rsidRDefault="002A3E93" w:rsidP="002A3E93">
            <w:pPr>
              <w:pStyle w:val="Brdtext"/>
              <w:rPr>
                <w:highlight w:val="yellow"/>
              </w:rPr>
            </w:pPr>
            <w:r w:rsidRPr="00F525E0">
              <w:rPr>
                <w:highlight w:val="red"/>
              </w:rPr>
              <w:t>33,3</w:t>
            </w:r>
          </w:p>
        </w:tc>
        <w:tc>
          <w:tcPr>
            <w:tcW w:w="1871" w:type="dxa"/>
            <w:noWrap/>
          </w:tcPr>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5406B" w:rsidRDefault="002A3E93" w:rsidP="002A3E93">
            <w:pPr>
              <w:pStyle w:val="Brdtext"/>
              <w:rPr>
                <w:lang w:val="en-US"/>
              </w:rPr>
            </w:pPr>
            <w:r>
              <w:rPr>
                <w:lang w:val="en-US"/>
              </w:rPr>
              <w:t>Evidence not provided</w:t>
            </w:r>
          </w:p>
          <w:p w:rsidR="002A3E93" w:rsidRPr="00A5406B" w:rsidRDefault="002A3E93" w:rsidP="002A3E93">
            <w:pPr>
              <w:pStyle w:val="Brdtext"/>
              <w:rPr>
                <w:lang w:val="en-US"/>
              </w:rPr>
            </w:pPr>
          </w:p>
          <w:p w:rsidR="002A3E93" w:rsidRPr="00A5406B" w:rsidRDefault="002A3E93" w:rsidP="002A3E93">
            <w:pPr>
              <w:pStyle w:val="Brdtext"/>
              <w:rPr>
                <w:lang w:val="en-US"/>
              </w:rPr>
            </w:pPr>
          </w:p>
          <w:p w:rsidR="002A3E93" w:rsidRDefault="002A3E93" w:rsidP="002A3E93">
            <w:pPr>
              <w:pStyle w:val="Brdtext"/>
              <w:rPr>
                <w:lang w:val="en-US"/>
              </w:rPr>
            </w:pPr>
            <w:r>
              <w:rPr>
                <w:lang w:val="en-US"/>
              </w:rPr>
              <w:lastRenderedPageBreak/>
              <w:t>Evidence not provided</w:t>
            </w:r>
          </w:p>
          <w:p w:rsidR="00F525E0" w:rsidRPr="003D1884" w:rsidRDefault="00F525E0" w:rsidP="002A3E93">
            <w:pPr>
              <w:pStyle w:val="Brdtext"/>
              <w:rPr>
                <w:lang w:val="en-US"/>
              </w:rPr>
            </w:pPr>
          </w:p>
          <w:p w:rsidR="002A3E93" w:rsidRPr="003D1884" w:rsidRDefault="002A3E93" w:rsidP="002A3E93">
            <w:pPr>
              <w:pStyle w:val="Brdtext"/>
              <w:rPr>
                <w:lang w:val="en-US"/>
              </w:rPr>
            </w:pPr>
            <w:r>
              <w:rPr>
                <w:lang w:val="en-US"/>
              </w:rPr>
              <w:t>Evidence not provided</w:t>
            </w:r>
          </w:p>
        </w:tc>
      </w:tr>
    </w:tbl>
    <w:p w:rsidR="00324325" w:rsidRPr="003D1884" w:rsidRDefault="00324325" w:rsidP="00324325">
      <w:pPr>
        <w:pStyle w:val="Brdtext"/>
        <w:rPr>
          <w:lang w:val="en-US"/>
        </w:rPr>
      </w:pPr>
    </w:p>
    <w:p w:rsidR="00616C61" w:rsidRDefault="005D4219" w:rsidP="00324325">
      <w:pPr>
        <w:pStyle w:val="Brdtext"/>
      </w:pPr>
      <w:r>
        <w:t>Forskningsmässigt hävdar sig KTH väl</w:t>
      </w:r>
      <w:r w:rsidR="00616C61">
        <w:t xml:space="preserve"> inom denna SDG</w:t>
      </w:r>
      <w:r>
        <w:t xml:space="preserve">, men i övrigt har det inte gått </w:t>
      </w:r>
      <w:r w:rsidR="000B3DF0">
        <w:t>fullt så bra</w:t>
      </w:r>
      <w:r>
        <w:t xml:space="preserve">. För att hävda sig </w:t>
      </w:r>
      <w:r w:rsidR="00616C61">
        <w:t xml:space="preserve">inom detta område </w:t>
      </w:r>
      <w:r>
        <w:t xml:space="preserve">måste KTH ta fram data kring </w:t>
      </w:r>
      <w:r w:rsidR="00172CC8">
        <w:t xml:space="preserve">hur </w:t>
      </w:r>
      <w:r>
        <w:t xml:space="preserve">många liter som </w:t>
      </w:r>
      <w:r w:rsidR="000B3DF0">
        <w:t>hämtas</w:t>
      </w:r>
      <w:r>
        <w:t xml:space="preserve"> från regnvatten och hur många liter </w:t>
      </w:r>
      <w:r w:rsidR="00414134">
        <w:t>vatten som</w:t>
      </w:r>
      <w:r w:rsidR="006555B8">
        <w:t xml:space="preserve"> återanvänds. I</w:t>
      </w:r>
      <w:r w:rsidR="000B3DF0">
        <w:t>nom detta område tilldelades vi</w:t>
      </w:r>
      <w:r>
        <w:t xml:space="preserve"> 2020 0 poäng. </w:t>
      </w:r>
    </w:p>
    <w:p w:rsidR="003F77BA" w:rsidRDefault="00414134" w:rsidP="00324325">
      <w:pPr>
        <w:pStyle w:val="Brdtext"/>
      </w:pPr>
      <w:r>
        <w:t>Min bedömning är att KTH har svårt att hävda sig i denna SDG, mycket beroende på att vattenbrist inte är ett</w:t>
      </w:r>
      <w:r w:rsidR="00616C61">
        <w:t xml:space="preserve"> stort problem i Sverige. D</w:t>
      </w:r>
      <w:r>
        <w:t>et finns sålunda inte något större incitament för att minska vattenanvändningen</w:t>
      </w:r>
      <w:r w:rsidR="00616C61">
        <w:t xml:space="preserve"> per capita</w:t>
      </w:r>
      <w:r>
        <w:t xml:space="preserve"> eller att bedriva omfattande utbildning och informationskampanjer kring detta, vilket är en förutsättning för att hävda sig inom denna SDG. </w:t>
      </w:r>
      <w:r w:rsidR="000B3DF0">
        <w:t>Rank</w:t>
      </w:r>
      <w:r w:rsidR="00C970BF">
        <w:t>n</w:t>
      </w:r>
      <w:r w:rsidR="000B3DF0">
        <w:t xml:space="preserve">ingen </w:t>
      </w:r>
      <w:r w:rsidR="00CD5647">
        <w:t>förutsätter</w:t>
      </w:r>
      <w:r w:rsidR="000B3DF0">
        <w:t xml:space="preserve"> att man</w:t>
      </w:r>
      <w:r w:rsidR="00E64957">
        <w:t xml:space="preserve"> skall</w:t>
      </w:r>
      <w:r w:rsidR="000B3DF0">
        <w:t xml:space="preserve"> genomför flera åtgärder i egen regi, snarare än i </w:t>
      </w:r>
      <w:r w:rsidR="006555B8">
        <w:t>offentlig</w:t>
      </w:r>
      <w:r w:rsidR="000B3DF0">
        <w:t xml:space="preserve">. </w:t>
      </w:r>
    </w:p>
    <w:p w:rsidR="003F77BA" w:rsidRPr="003F77BA" w:rsidRDefault="003F77BA" w:rsidP="003F77BA">
      <w:pPr>
        <w:pStyle w:val="Brdtext"/>
      </w:pPr>
      <w:r w:rsidRPr="003F77BA">
        <w:t>En policy krävs för att få full poäng inom d</w:t>
      </w:r>
      <w:r>
        <w:t xml:space="preserve">e indikatorer som efterfrågar en policy. </w:t>
      </w:r>
    </w:p>
    <w:p w:rsidR="00156524" w:rsidRDefault="00156524" w:rsidP="00324325">
      <w:pPr>
        <w:pStyle w:val="Brdtext"/>
      </w:pPr>
    </w:p>
    <w:p w:rsidR="00324325" w:rsidRPr="006848FB" w:rsidRDefault="00324325" w:rsidP="000C272F">
      <w:pPr>
        <w:pStyle w:val="Rubrik3"/>
      </w:pPr>
      <w:bookmarkStart w:id="7" w:name="_Toc52351575"/>
      <w:r w:rsidRPr="006848FB">
        <w:t>SDG 7</w:t>
      </w:r>
      <w:r w:rsidR="00AF18C7" w:rsidRPr="006848FB">
        <w:t xml:space="preserve"> </w:t>
      </w:r>
      <w:proofErr w:type="spellStart"/>
      <w:r w:rsidR="00AF18C7" w:rsidRPr="006848FB">
        <w:t>Affordable</w:t>
      </w:r>
      <w:proofErr w:type="spellEnd"/>
      <w:r w:rsidR="00AF18C7" w:rsidRPr="006848FB">
        <w:t xml:space="preserve"> and Clean Energy</w:t>
      </w:r>
      <w:bookmarkEnd w:id="7"/>
    </w:p>
    <w:tbl>
      <w:tblPr>
        <w:tblStyle w:val="Tabellrutnt"/>
        <w:tblW w:w="0" w:type="auto"/>
        <w:tblLook w:val="04A0" w:firstRow="1" w:lastRow="0" w:firstColumn="1" w:lastColumn="0" w:noHBand="0" w:noVBand="1"/>
      </w:tblPr>
      <w:tblGrid>
        <w:gridCol w:w="3909"/>
        <w:gridCol w:w="1723"/>
        <w:gridCol w:w="920"/>
        <w:gridCol w:w="1814"/>
      </w:tblGrid>
      <w:tr w:rsidR="002A3E93" w:rsidRPr="00324325" w:rsidTr="00B26273">
        <w:trPr>
          <w:trHeight w:val="315"/>
        </w:trPr>
        <w:tc>
          <w:tcPr>
            <w:tcW w:w="3909" w:type="dxa"/>
            <w:noWrap/>
          </w:tcPr>
          <w:p w:rsidR="002A3E93" w:rsidRPr="001A24C6" w:rsidRDefault="002A3E93" w:rsidP="002A3E93">
            <w:pPr>
              <w:pStyle w:val="Brdtext"/>
              <w:rPr>
                <w:b/>
                <w:lang w:val="en-US"/>
              </w:rPr>
            </w:pPr>
            <w:proofErr w:type="spellStart"/>
            <w:r w:rsidRPr="001A24C6">
              <w:rPr>
                <w:b/>
                <w:lang w:val="en-US"/>
              </w:rPr>
              <w:t>Indikator</w:t>
            </w:r>
            <w:proofErr w:type="spellEnd"/>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14"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B26273">
        <w:trPr>
          <w:trHeight w:val="315"/>
        </w:trPr>
        <w:tc>
          <w:tcPr>
            <w:tcW w:w="3909" w:type="dxa"/>
            <w:noWrap/>
            <w:hideMark/>
          </w:tcPr>
          <w:p w:rsidR="002A3E93" w:rsidRPr="00967DA9" w:rsidRDefault="002A3E93" w:rsidP="002A3E93">
            <w:pPr>
              <w:pStyle w:val="Brdtext"/>
              <w:rPr>
                <w:b/>
                <w:lang w:val="en-US"/>
              </w:rPr>
            </w:pPr>
            <w:r w:rsidRPr="00967DA9">
              <w:rPr>
                <w:b/>
                <w:highlight w:val="yellow"/>
                <w:lang w:val="en-US"/>
              </w:rPr>
              <w:t>Research on clean energy</w:t>
            </w:r>
          </w:p>
          <w:p w:rsidR="002A3E93" w:rsidRPr="00967DA9" w:rsidRDefault="002A3E93" w:rsidP="002A3E93">
            <w:pPr>
              <w:pStyle w:val="Brdtext"/>
              <w:rPr>
                <w:highlight w:val="yellow"/>
                <w:lang w:val="en-US"/>
              </w:rPr>
            </w:pPr>
            <w:r w:rsidRPr="00967DA9">
              <w:rPr>
                <w:highlight w:val="yellow"/>
                <w:lang w:val="en-US"/>
              </w:rPr>
              <w:t xml:space="preserve">Proportion of papers in the top 10 per cent of journals as defined by </w:t>
            </w:r>
            <w:proofErr w:type="spellStart"/>
            <w:r w:rsidRPr="00967DA9">
              <w:rPr>
                <w:highlight w:val="yellow"/>
                <w:lang w:val="en-US"/>
              </w:rPr>
              <w:t>Citescore</w:t>
            </w:r>
            <w:proofErr w:type="spellEnd"/>
            <w:r w:rsidRPr="00967DA9">
              <w:rPr>
                <w:highlight w:val="yellow"/>
                <w:lang w:val="en-US"/>
              </w:rPr>
              <w:t xml:space="preserve"> (10%)</w:t>
            </w:r>
          </w:p>
          <w:p w:rsidR="002A3E93" w:rsidRPr="0003172E" w:rsidRDefault="002A3E93" w:rsidP="002A3E93">
            <w:pPr>
              <w:pStyle w:val="Brdtext"/>
              <w:rPr>
                <w:highlight w:val="green"/>
                <w:lang w:val="en-US"/>
              </w:rPr>
            </w:pPr>
            <w:r w:rsidRPr="0003172E">
              <w:rPr>
                <w:highlight w:val="green"/>
                <w:lang w:val="en-US"/>
              </w:rPr>
              <w:t>Field-weighted citation index of papers (10%)</w:t>
            </w:r>
          </w:p>
          <w:p w:rsidR="002A3E93" w:rsidRPr="008726EC" w:rsidRDefault="002A3E93" w:rsidP="002A3E93">
            <w:pPr>
              <w:pStyle w:val="Brdtext"/>
              <w:rPr>
                <w:highlight w:val="yellow"/>
              </w:rPr>
            </w:pPr>
            <w:proofErr w:type="spellStart"/>
            <w:r w:rsidRPr="0003172E">
              <w:rPr>
                <w:highlight w:val="green"/>
              </w:rPr>
              <w:t>Number</w:t>
            </w:r>
            <w:proofErr w:type="spellEnd"/>
            <w:r w:rsidRPr="0003172E">
              <w:rPr>
                <w:highlight w:val="green"/>
              </w:rPr>
              <w:t xml:space="preserve"> of </w:t>
            </w:r>
            <w:proofErr w:type="spellStart"/>
            <w:r w:rsidRPr="0003172E">
              <w:rPr>
                <w:highlight w:val="green"/>
              </w:rPr>
              <w:t>publications</w:t>
            </w:r>
            <w:proofErr w:type="spellEnd"/>
            <w:r w:rsidRPr="0003172E">
              <w:rPr>
                <w:highlight w:val="green"/>
              </w:rPr>
              <w:t xml:space="preserve"> (7%)</w:t>
            </w:r>
          </w:p>
        </w:tc>
        <w:tc>
          <w:tcPr>
            <w:tcW w:w="1723" w:type="dxa"/>
            <w:noWrap/>
            <w:hideMark/>
          </w:tcPr>
          <w:p w:rsidR="002A3E93" w:rsidRPr="0053219A" w:rsidRDefault="002A3E93" w:rsidP="002A3E93">
            <w:pPr>
              <w:pStyle w:val="Brdtext"/>
              <w:rPr>
                <w:b/>
                <w:highlight w:val="yellow"/>
              </w:rPr>
            </w:pPr>
            <w:r w:rsidRPr="0053219A">
              <w:rPr>
                <w:b/>
                <w:highlight w:val="yellow"/>
              </w:rPr>
              <w:t>27%</w:t>
            </w:r>
          </w:p>
        </w:tc>
        <w:tc>
          <w:tcPr>
            <w:tcW w:w="920" w:type="dxa"/>
            <w:noWrap/>
            <w:hideMark/>
          </w:tcPr>
          <w:p w:rsidR="002A3E93" w:rsidRPr="0053219A" w:rsidRDefault="002A3E93" w:rsidP="002A3E93">
            <w:pPr>
              <w:pStyle w:val="Brdtext"/>
              <w:rPr>
                <w:b/>
                <w:highlight w:val="yellow"/>
              </w:rPr>
            </w:pPr>
            <w:r w:rsidRPr="0053219A">
              <w:rPr>
                <w:b/>
                <w:highlight w:val="yellow"/>
              </w:rPr>
              <w:t>79.7</w:t>
            </w:r>
          </w:p>
          <w:p w:rsidR="002A3E93" w:rsidRPr="006339E1" w:rsidRDefault="002A3E93" w:rsidP="002A3E93">
            <w:pPr>
              <w:pStyle w:val="Brdtext"/>
            </w:pPr>
            <w:r w:rsidRPr="001B464D">
              <w:rPr>
                <w:highlight w:val="yellow"/>
              </w:rPr>
              <w:t>64.6</w:t>
            </w:r>
          </w:p>
          <w:p w:rsidR="002A3E93" w:rsidRPr="006339E1" w:rsidRDefault="002A3E93" w:rsidP="002A3E93">
            <w:pPr>
              <w:pStyle w:val="Brdtext"/>
            </w:pPr>
          </w:p>
          <w:p w:rsidR="002A3E93" w:rsidRPr="00AF04BE" w:rsidRDefault="002A3E93" w:rsidP="002A3E93">
            <w:pPr>
              <w:pStyle w:val="Brdtext"/>
              <w:rPr>
                <w:highlight w:val="green"/>
              </w:rPr>
            </w:pPr>
            <w:r w:rsidRPr="00AF04BE">
              <w:rPr>
                <w:highlight w:val="green"/>
              </w:rPr>
              <w:t>80.6</w:t>
            </w:r>
          </w:p>
          <w:p w:rsidR="002A3E93" w:rsidRPr="00AF04BE" w:rsidRDefault="002A3E93" w:rsidP="002A3E93">
            <w:pPr>
              <w:pStyle w:val="Brdtext"/>
              <w:rPr>
                <w:highlight w:val="green"/>
              </w:rPr>
            </w:pPr>
          </w:p>
          <w:p w:rsidR="002A3E93" w:rsidRPr="008726EC" w:rsidRDefault="002A3E93" w:rsidP="002A3E93">
            <w:pPr>
              <w:pStyle w:val="Brdtext"/>
              <w:rPr>
                <w:highlight w:val="yellow"/>
              </w:rPr>
            </w:pPr>
            <w:r w:rsidRPr="00AF04BE">
              <w:rPr>
                <w:highlight w:val="green"/>
              </w:rPr>
              <w:t>100</w:t>
            </w:r>
          </w:p>
        </w:tc>
        <w:tc>
          <w:tcPr>
            <w:tcW w:w="1814" w:type="dxa"/>
            <w:noWrap/>
            <w:hideMark/>
          </w:tcPr>
          <w:p w:rsidR="002A3E93" w:rsidRPr="0053219A" w:rsidRDefault="002A3E93" w:rsidP="002A3E93">
            <w:pPr>
              <w:pStyle w:val="Brdtext"/>
              <w:rPr>
                <w:b/>
              </w:rPr>
            </w:pPr>
            <w:r w:rsidRPr="0053219A">
              <w:rPr>
                <w:b/>
              </w:rPr>
              <w:t>52</w:t>
            </w:r>
          </w:p>
        </w:tc>
      </w:tr>
      <w:tr w:rsidR="002A3E93" w:rsidRPr="00324325" w:rsidTr="00B26273">
        <w:trPr>
          <w:trHeight w:val="315"/>
        </w:trPr>
        <w:tc>
          <w:tcPr>
            <w:tcW w:w="3909" w:type="dxa"/>
            <w:noWrap/>
            <w:hideMark/>
          </w:tcPr>
          <w:p w:rsidR="002A3E93" w:rsidRPr="00967DA9" w:rsidRDefault="002A3E93" w:rsidP="002A3E93">
            <w:pPr>
              <w:pStyle w:val="Brdtext"/>
              <w:rPr>
                <w:b/>
                <w:lang w:val="en-US"/>
              </w:rPr>
            </w:pPr>
            <w:r w:rsidRPr="00967DA9">
              <w:rPr>
                <w:b/>
                <w:highlight w:val="green"/>
                <w:lang w:val="en-US"/>
              </w:rPr>
              <w:t>University measures towards affordable and clean energy</w:t>
            </w:r>
          </w:p>
          <w:p w:rsidR="002A3E93" w:rsidRPr="00967DA9" w:rsidRDefault="002A3E93" w:rsidP="002A3E93">
            <w:pPr>
              <w:pStyle w:val="Brdtext"/>
              <w:rPr>
                <w:highlight w:val="green"/>
                <w:lang w:val="en-US"/>
              </w:rPr>
            </w:pPr>
            <w:r w:rsidRPr="00967DA9">
              <w:rPr>
                <w:highlight w:val="green"/>
                <w:lang w:val="en-US"/>
              </w:rPr>
              <w:t>Policy to ensure all renovations or new builds follow energy efficiency standards (3.85%)</w:t>
            </w:r>
          </w:p>
          <w:p w:rsidR="002A3E93" w:rsidRPr="00967DA9" w:rsidRDefault="002A3E93" w:rsidP="002A3E93">
            <w:pPr>
              <w:pStyle w:val="Brdtext"/>
              <w:rPr>
                <w:highlight w:val="green"/>
                <w:lang w:val="en-US"/>
              </w:rPr>
            </w:pPr>
            <w:r w:rsidRPr="00967DA9">
              <w:rPr>
                <w:highlight w:val="green"/>
                <w:lang w:val="en-US"/>
              </w:rPr>
              <w:t>Plans to upgrade existing buildings to higher energy efficiency rating (3.85%)</w:t>
            </w:r>
          </w:p>
          <w:p w:rsidR="002A3E93" w:rsidRPr="00967DA9" w:rsidRDefault="002A3E93" w:rsidP="002A3E93">
            <w:pPr>
              <w:pStyle w:val="Brdtext"/>
              <w:rPr>
                <w:highlight w:val="green"/>
                <w:lang w:val="en-US"/>
              </w:rPr>
            </w:pPr>
            <w:r w:rsidRPr="00967DA9">
              <w:rPr>
                <w:highlight w:val="green"/>
                <w:lang w:val="en-US"/>
              </w:rPr>
              <w:lastRenderedPageBreak/>
              <w:t>Process for carbon management and reducing carbon dioxide emissions (3.85%)</w:t>
            </w:r>
          </w:p>
          <w:p w:rsidR="002A3E93" w:rsidRPr="0003172E" w:rsidRDefault="002A3E93" w:rsidP="002A3E93">
            <w:pPr>
              <w:pStyle w:val="Brdtext"/>
              <w:rPr>
                <w:highlight w:val="red"/>
                <w:lang w:val="en-US"/>
              </w:rPr>
            </w:pPr>
            <w:r w:rsidRPr="0003172E">
              <w:rPr>
                <w:highlight w:val="red"/>
                <w:lang w:val="en-US"/>
              </w:rPr>
              <w:t>Plan to reduce overall energy consumption (3.85%)</w:t>
            </w:r>
          </w:p>
          <w:p w:rsidR="002A3E93" w:rsidRPr="00967DA9" w:rsidRDefault="002A3E93" w:rsidP="002A3E93">
            <w:pPr>
              <w:pStyle w:val="Brdtext"/>
              <w:rPr>
                <w:highlight w:val="green"/>
                <w:lang w:val="en-US"/>
              </w:rPr>
            </w:pPr>
            <w:r w:rsidRPr="00967DA9">
              <w:rPr>
                <w:highlight w:val="green"/>
                <w:lang w:val="en-US"/>
              </w:rPr>
              <w:t>Reviews to identify areas where energy waste is highest (3.8%)</w:t>
            </w:r>
          </w:p>
          <w:p w:rsidR="002A3E93" w:rsidRPr="008726EC" w:rsidRDefault="002A3E93" w:rsidP="002A3E93">
            <w:pPr>
              <w:pStyle w:val="Brdtext"/>
              <w:rPr>
                <w:highlight w:val="green"/>
                <w:lang w:val="en-US"/>
              </w:rPr>
            </w:pPr>
            <w:r w:rsidRPr="00967DA9">
              <w:rPr>
                <w:highlight w:val="green"/>
                <w:lang w:val="en-US"/>
              </w:rPr>
              <w:t>Policy on divesting from carbon-intensive energy industries, notably coal and oil (3.8%)</w:t>
            </w:r>
          </w:p>
        </w:tc>
        <w:tc>
          <w:tcPr>
            <w:tcW w:w="1723" w:type="dxa"/>
            <w:noWrap/>
            <w:hideMark/>
          </w:tcPr>
          <w:p w:rsidR="002A3E93" w:rsidRPr="0053219A" w:rsidRDefault="002A3E93" w:rsidP="002A3E93">
            <w:pPr>
              <w:pStyle w:val="Brdtext"/>
              <w:rPr>
                <w:b/>
                <w:highlight w:val="green"/>
              </w:rPr>
            </w:pPr>
            <w:r w:rsidRPr="0053219A">
              <w:rPr>
                <w:b/>
                <w:highlight w:val="green"/>
              </w:rPr>
              <w:lastRenderedPageBreak/>
              <w:t>23%</w:t>
            </w:r>
          </w:p>
        </w:tc>
        <w:tc>
          <w:tcPr>
            <w:tcW w:w="920" w:type="dxa"/>
            <w:noWrap/>
            <w:hideMark/>
          </w:tcPr>
          <w:p w:rsidR="002A3E93" w:rsidRPr="0053219A" w:rsidRDefault="002A3E93" w:rsidP="002A3E93">
            <w:pPr>
              <w:pStyle w:val="Brdtext"/>
              <w:rPr>
                <w:b/>
                <w:highlight w:val="green"/>
              </w:rPr>
            </w:pPr>
            <w:r w:rsidRPr="0053219A">
              <w:rPr>
                <w:b/>
                <w:highlight w:val="green"/>
              </w:rPr>
              <w:t>84</w:t>
            </w: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Pr="00AF04BE" w:rsidRDefault="002A3E93" w:rsidP="002A3E93">
            <w:pPr>
              <w:pStyle w:val="Brdtext"/>
              <w:rPr>
                <w:highlight w:val="green"/>
              </w:rPr>
            </w:pPr>
          </w:p>
          <w:p w:rsidR="002A3E93" w:rsidRPr="00AF04BE" w:rsidRDefault="002A3E93" w:rsidP="002A3E93">
            <w:pPr>
              <w:pStyle w:val="Brdtext"/>
              <w:rPr>
                <w:highlight w:val="green"/>
              </w:rPr>
            </w:pPr>
            <w:r w:rsidRPr="00AF04BE">
              <w:rPr>
                <w:highlight w:val="green"/>
              </w:rPr>
              <w:t>100</w:t>
            </w:r>
          </w:p>
          <w:p w:rsidR="002A3E93" w:rsidRPr="006339E1" w:rsidRDefault="002A3E93" w:rsidP="002A3E93">
            <w:pPr>
              <w:pStyle w:val="Brdtext"/>
            </w:pPr>
            <w:bookmarkStart w:id="8" w:name="_GoBack"/>
            <w:bookmarkEnd w:id="8"/>
            <w:r w:rsidRPr="00AF04BE">
              <w:rPr>
                <w:highlight w:val="green"/>
              </w:rPr>
              <w:lastRenderedPageBreak/>
              <w:t>83.3</w:t>
            </w:r>
          </w:p>
          <w:p w:rsidR="002A3E93" w:rsidRPr="006339E1" w:rsidRDefault="002A3E93" w:rsidP="002A3E93">
            <w:pPr>
              <w:pStyle w:val="Brdtext"/>
            </w:pPr>
          </w:p>
          <w:p w:rsidR="002A3E93" w:rsidRPr="006339E1" w:rsidRDefault="002A3E93" w:rsidP="002A3E93">
            <w:pPr>
              <w:pStyle w:val="Brdtext"/>
            </w:pPr>
            <w:r w:rsidRPr="00F525E0">
              <w:rPr>
                <w:highlight w:val="red"/>
              </w:rPr>
              <w:t>33.3</w:t>
            </w: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Pr="008726EC" w:rsidRDefault="002A3E93" w:rsidP="002A3E93">
            <w:pPr>
              <w:pStyle w:val="Brdtext"/>
              <w:rPr>
                <w:highlight w:val="green"/>
              </w:rPr>
            </w:pPr>
            <w:r w:rsidRPr="00AF04BE">
              <w:rPr>
                <w:highlight w:val="green"/>
              </w:rPr>
              <w:t>87.5</w:t>
            </w:r>
          </w:p>
        </w:tc>
        <w:tc>
          <w:tcPr>
            <w:tcW w:w="1814" w:type="dxa"/>
            <w:noWrap/>
          </w:tcPr>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Pr="00324325" w:rsidRDefault="002A3E93" w:rsidP="002A3E93">
            <w:pPr>
              <w:pStyle w:val="Brdtext"/>
            </w:pPr>
            <w:proofErr w:type="spellStart"/>
            <w:r>
              <w:t>Evidence</w:t>
            </w:r>
            <w:proofErr w:type="spellEnd"/>
            <w:r>
              <w:t xml:space="preserve"> not </w:t>
            </w:r>
            <w:proofErr w:type="spellStart"/>
            <w:r>
              <w:t>provided</w:t>
            </w:r>
            <w:proofErr w:type="spellEnd"/>
          </w:p>
        </w:tc>
      </w:tr>
      <w:tr w:rsidR="002A3E93" w:rsidRPr="00324325" w:rsidTr="00B26273">
        <w:trPr>
          <w:trHeight w:val="315"/>
        </w:trPr>
        <w:tc>
          <w:tcPr>
            <w:tcW w:w="3909" w:type="dxa"/>
            <w:noWrap/>
            <w:hideMark/>
          </w:tcPr>
          <w:p w:rsidR="002A3E93" w:rsidRPr="00967DA9" w:rsidRDefault="002A3E93" w:rsidP="002A3E93">
            <w:pPr>
              <w:pStyle w:val="Brdtext"/>
              <w:rPr>
                <w:b/>
                <w:highlight w:val="red"/>
              </w:rPr>
            </w:pPr>
            <w:r w:rsidRPr="00967DA9">
              <w:rPr>
                <w:b/>
                <w:highlight w:val="red"/>
              </w:rPr>
              <w:lastRenderedPageBreak/>
              <w:t xml:space="preserve">Energy </w:t>
            </w:r>
            <w:proofErr w:type="spellStart"/>
            <w:r w:rsidRPr="00967DA9">
              <w:rPr>
                <w:b/>
                <w:highlight w:val="red"/>
              </w:rPr>
              <w:t>use</w:t>
            </w:r>
            <w:proofErr w:type="spellEnd"/>
            <w:r w:rsidRPr="00967DA9">
              <w:rPr>
                <w:b/>
                <w:highlight w:val="red"/>
              </w:rPr>
              <w:t xml:space="preserve"> </w:t>
            </w:r>
            <w:proofErr w:type="spellStart"/>
            <w:r w:rsidRPr="00967DA9">
              <w:rPr>
                <w:b/>
                <w:highlight w:val="red"/>
              </w:rPr>
              <w:t>density</w:t>
            </w:r>
            <w:proofErr w:type="spellEnd"/>
          </w:p>
        </w:tc>
        <w:tc>
          <w:tcPr>
            <w:tcW w:w="1723" w:type="dxa"/>
            <w:noWrap/>
            <w:hideMark/>
          </w:tcPr>
          <w:p w:rsidR="002A3E93" w:rsidRPr="0053219A" w:rsidRDefault="002A3E93" w:rsidP="002A3E93">
            <w:pPr>
              <w:pStyle w:val="Brdtext"/>
              <w:rPr>
                <w:b/>
                <w:highlight w:val="red"/>
              </w:rPr>
            </w:pPr>
            <w:r w:rsidRPr="0053219A">
              <w:rPr>
                <w:b/>
                <w:highlight w:val="red"/>
              </w:rPr>
              <w:t>27%</w:t>
            </w:r>
          </w:p>
        </w:tc>
        <w:tc>
          <w:tcPr>
            <w:tcW w:w="920" w:type="dxa"/>
            <w:noWrap/>
            <w:hideMark/>
          </w:tcPr>
          <w:p w:rsidR="002A3E93" w:rsidRPr="0053219A" w:rsidRDefault="002A3E93" w:rsidP="002A3E93">
            <w:pPr>
              <w:pStyle w:val="Brdtext"/>
              <w:rPr>
                <w:b/>
                <w:highlight w:val="red"/>
              </w:rPr>
            </w:pPr>
            <w:r w:rsidRPr="0053219A">
              <w:rPr>
                <w:b/>
                <w:highlight w:val="red"/>
              </w:rPr>
              <w:t>31.8</w:t>
            </w:r>
          </w:p>
        </w:tc>
        <w:tc>
          <w:tcPr>
            <w:tcW w:w="1814" w:type="dxa"/>
            <w:noWrap/>
          </w:tcPr>
          <w:p w:rsidR="002A3E93" w:rsidRPr="008726EC" w:rsidRDefault="002A3E93" w:rsidP="002A3E93">
            <w:pPr>
              <w:pStyle w:val="Brdtext"/>
              <w:rPr>
                <w:highlight w:val="red"/>
              </w:rPr>
            </w:pPr>
          </w:p>
        </w:tc>
      </w:tr>
      <w:tr w:rsidR="002A3E93" w:rsidRPr="00324325" w:rsidTr="00B26273">
        <w:trPr>
          <w:trHeight w:val="315"/>
        </w:trPr>
        <w:tc>
          <w:tcPr>
            <w:tcW w:w="3909" w:type="dxa"/>
            <w:noWrap/>
            <w:hideMark/>
          </w:tcPr>
          <w:p w:rsidR="002A3E93" w:rsidRPr="00967DA9" w:rsidRDefault="002A3E93" w:rsidP="002A3E93">
            <w:pPr>
              <w:pStyle w:val="Brdtext"/>
              <w:rPr>
                <w:b/>
                <w:lang w:val="en-US"/>
              </w:rPr>
            </w:pPr>
            <w:r w:rsidRPr="00967DA9">
              <w:rPr>
                <w:b/>
                <w:highlight w:val="green"/>
                <w:lang w:val="en-US"/>
              </w:rPr>
              <w:t>Energy and the community</w:t>
            </w:r>
          </w:p>
          <w:p w:rsidR="002A3E93" w:rsidRPr="00967DA9" w:rsidRDefault="002A3E93" w:rsidP="002A3E93">
            <w:pPr>
              <w:pStyle w:val="Brdtext"/>
              <w:rPr>
                <w:highlight w:val="green"/>
                <w:lang w:val="en-US"/>
              </w:rPr>
            </w:pPr>
            <w:proofErr w:type="spellStart"/>
            <w:r w:rsidRPr="00967DA9">
              <w:rPr>
                <w:highlight w:val="green"/>
                <w:lang w:val="en-US"/>
              </w:rPr>
              <w:t>Programmes</w:t>
            </w:r>
            <w:proofErr w:type="spellEnd"/>
            <w:r w:rsidRPr="00967DA9">
              <w:rPr>
                <w:highlight w:val="green"/>
                <w:lang w:val="en-US"/>
              </w:rPr>
              <w:t xml:space="preserve"> for local community to learn about the importance of energy efficiency and clean energy (4.6%)</w:t>
            </w:r>
          </w:p>
          <w:p w:rsidR="002A3E93" w:rsidRPr="0003172E" w:rsidRDefault="002A3E93" w:rsidP="002A3E93">
            <w:pPr>
              <w:pStyle w:val="Brdtext"/>
              <w:rPr>
                <w:highlight w:val="red"/>
                <w:lang w:val="en-US"/>
              </w:rPr>
            </w:pPr>
            <w:r w:rsidRPr="0003172E">
              <w:rPr>
                <w:highlight w:val="red"/>
                <w:lang w:val="en-US"/>
              </w:rPr>
              <w:t>Promote pledge on 100 per cent renewable energy (4.6%)</w:t>
            </w:r>
          </w:p>
          <w:p w:rsidR="002A3E93" w:rsidRPr="00967DA9" w:rsidRDefault="002A3E93" w:rsidP="002A3E93">
            <w:pPr>
              <w:pStyle w:val="Brdtext"/>
              <w:rPr>
                <w:highlight w:val="green"/>
                <w:lang w:val="en-US"/>
              </w:rPr>
            </w:pPr>
            <w:r w:rsidRPr="00967DA9">
              <w:rPr>
                <w:highlight w:val="green"/>
                <w:lang w:val="en-US"/>
              </w:rPr>
              <w:t>Services aimed at improving energy efficiency and clean energy for local industry (4.6%)</w:t>
            </w:r>
          </w:p>
          <w:p w:rsidR="002A3E93" w:rsidRPr="00967DA9" w:rsidRDefault="002A3E93" w:rsidP="002A3E93">
            <w:pPr>
              <w:pStyle w:val="Brdtext"/>
              <w:rPr>
                <w:highlight w:val="green"/>
                <w:lang w:val="en-US"/>
              </w:rPr>
            </w:pPr>
            <w:r w:rsidRPr="00967DA9">
              <w:rPr>
                <w:highlight w:val="green"/>
                <w:lang w:val="en-US"/>
              </w:rPr>
              <w:t>Inform and support governments on policy development related to clean energy and energy-efficient technology (4.6%)</w:t>
            </w:r>
          </w:p>
          <w:p w:rsidR="002A3E93" w:rsidRPr="00967DA9" w:rsidRDefault="002A3E93" w:rsidP="002A3E93">
            <w:pPr>
              <w:pStyle w:val="Brdtext"/>
              <w:rPr>
                <w:lang w:val="en-US"/>
              </w:rPr>
            </w:pPr>
            <w:r w:rsidRPr="00967DA9">
              <w:rPr>
                <w:highlight w:val="green"/>
                <w:lang w:val="en-US"/>
              </w:rPr>
              <w:t>Assistance for start-ups that foster and support a low-carbon economy or technology (4.6%)</w:t>
            </w:r>
          </w:p>
        </w:tc>
        <w:tc>
          <w:tcPr>
            <w:tcW w:w="1723" w:type="dxa"/>
            <w:noWrap/>
            <w:hideMark/>
          </w:tcPr>
          <w:p w:rsidR="002A3E93" w:rsidRPr="0053219A" w:rsidRDefault="002A3E93" w:rsidP="002A3E93">
            <w:pPr>
              <w:pStyle w:val="Brdtext"/>
              <w:rPr>
                <w:b/>
                <w:highlight w:val="green"/>
              </w:rPr>
            </w:pPr>
            <w:r w:rsidRPr="0053219A">
              <w:rPr>
                <w:b/>
                <w:highlight w:val="green"/>
              </w:rPr>
              <w:t>23%</w:t>
            </w:r>
          </w:p>
        </w:tc>
        <w:tc>
          <w:tcPr>
            <w:tcW w:w="920" w:type="dxa"/>
            <w:noWrap/>
            <w:hideMark/>
          </w:tcPr>
          <w:p w:rsidR="002A3E93" w:rsidRPr="0053219A" w:rsidRDefault="002A3E93" w:rsidP="002A3E93">
            <w:pPr>
              <w:pStyle w:val="Brdtext"/>
              <w:rPr>
                <w:b/>
                <w:highlight w:val="green"/>
              </w:rPr>
            </w:pPr>
            <w:r w:rsidRPr="0053219A">
              <w:rPr>
                <w:b/>
                <w:highlight w:val="green"/>
              </w:rPr>
              <w:t>83.3</w:t>
            </w:r>
          </w:p>
          <w:p w:rsidR="002A3E93" w:rsidRPr="006339E1" w:rsidRDefault="002A3E93" w:rsidP="002A3E93">
            <w:pPr>
              <w:pStyle w:val="Brdtext"/>
            </w:pPr>
            <w:r w:rsidRPr="00AF04BE">
              <w:rPr>
                <w:highlight w:val="green"/>
              </w:rPr>
              <w:t>83,3</w:t>
            </w:r>
          </w:p>
          <w:p w:rsidR="002A3E93" w:rsidRPr="006339E1" w:rsidRDefault="002A3E93" w:rsidP="002A3E93">
            <w:pPr>
              <w:pStyle w:val="Brdtext"/>
            </w:pPr>
          </w:p>
          <w:p w:rsidR="002A3E93" w:rsidRDefault="002A3E93" w:rsidP="002A3E93">
            <w:pPr>
              <w:pStyle w:val="Brdtext"/>
            </w:pPr>
            <w:r w:rsidRPr="00F525E0">
              <w:rPr>
                <w:highlight w:val="red"/>
              </w:rPr>
              <w:t>33,3</w:t>
            </w:r>
          </w:p>
          <w:p w:rsidR="002A3E93" w:rsidRPr="006339E1" w:rsidRDefault="002A3E93" w:rsidP="002A3E93">
            <w:pPr>
              <w:pStyle w:val="Brdtext"/>
            </w:pP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Pr="008726EC" w:rsidRDefault="002A3E93" w:rsidP="002A3E93">
            <w:pPr>
              <w:pStyle w:val="Brdtext"/>
              <w:rPr>
                <w:highlight w:val="green"/>
              </w:rPr>
            </w:pPr>
            <w:r w:rsidRPr="00AF04BE">
              <w:rPr>
                <w:highlight w:val="green"/>
              </w:rPr>
              <w:t>100</w:t>
            </w:r>
          </w:p>
        </w:tc>
        <w:tc>
          <w:tcPr>
            <w:tcW w:w="1814" w:type="dxa"/>
            <w:noWrap/>
          </w:tcPr>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Pr="00324325" w:rsidRDefault="002A3E93" w:rsidP="002A3E93">
            <w:pPr>
              <w:pStyle w:val="Brdtext"/>
            </w:pPr>
            <w:proofErr w:type="spellStart"/>
            <w:r>
              <w:t>Evidence</w:t>
            </w:r>
            <w:proofErr w:type="spellEnd"/>
            <w:r>
              <w:t xml:space="preserve"> not </w:t>
            </w:r>
            <w:proofErr w:type="spellStart"/>
            <w:r>
              <w:t>provided</w:t>
            </w:r>
            <w:proofErr w:type="spellEnd"/>
          </w:p>
        </w:tc>
      </w:tr>
    </w:tbl>
    <w:p w:rsidR="00324325" w:rsidRDefault="00324325" w:rsidP="00324325">
      <w:pPr>
        <w:pStyle w:val="Brdtext"/>
      </w:pPr>
    </w:p>
    <w:p w:rsidR="00414134" w:rsidRDefault="00414134" w:rsidP="00324325">
      <w:pPr>
        <w:pStyle w:val="Brdtext"/>
      </w:pPr>
      <w:r>
        <w:t>KTH presterar mycket bra inom samtliga indikatorer med undantag av energianvändning. För att förbättra sig inom denna indikator måste KTH blir mer energisnålt</w:t>
      </w:r>
      <w:r w:rsidR="00616C61">
        <w:t xml:space="preserve">, vilket kan vara en utmaning för ett tekniskt universitet med </w:t>
      </w:r>
      <w:r w:rsidR="000B3DF0">
        <w:t>en mycket</w:t>
      </w:r>
      <w:r w:rsidR="00616C61">
        <w:t xml:space="preserve"> energikrävande forskningsinfrastruktur</w:t>
      </w:r>
      <w:r>
        <w:t xml:space="preserve">. </w:t>
      </w:r>
    </w:p>
    <w:p w:rsidR="003F77BA" w:rsidRDefault="003F77BA" w:rsidP="00324325">
      <w:pPr>
        <w:pStyle w:val="Brdtext"/>
      </w:pPr>
      <w:r w:rsidRPr="003F77BA">
        <w:t>En policy krävs för att få full poäng inom d</w:t>
      </w:r>
      <w:r>
        <w:t xml:space="preserve">e indikatorer som efterfrågar en policy. </w:t>
      </w:r>
    </w:p>
    <w:p w:rsidR="00156524" w:rsidRDefault="00156524" w:rsidP="00324325">
      <w:pPr>
        <w:pStyle w:val="Brdtext"/>
      </w:pPr>
    </w:p>
    <w:p w:rsidR="00324325" w:rsidRPr="00156524" w:rsidRDefault="00324325" w:rsidP="000C272F">
      <w:pPr>
        <w:pStyle w:val="Rubrik3"/>
        <w:rPr>
          <w:lang w:val="en-US"/>
        </w:rPr>
      </w:pPr>
      <w:bookmarkStart w:id="9" w:name="_Toc52351576"/>
      <w:r w:rsidRPr="00156524">
        <w:rPr>
          <w:lang w:val="en-US"/>
        </w:rPr>
        <w:t>SDG 8</w:t>
      </w:r>
      <w:r w:rsidR="00AF18C7" w:rsidRPr="00156524">
        <w:rPr>
          <w:lang w:val="en-US"/>
        </w:rPr>
        <w:t xml:space="preserve"> Decent Work and Economic Growth</w:t>
      </w:r>
      <w:bookmarkEnd w:id="9"/>
    </w:p>
    <w:tbl>
      <w:tblPr>
        <w:tblStyle w:val="Tabellrutnt"/>
        <w:tblW w:w="0" w:type="auto"/>
        <w:tblLook w:val="04A0" w:firstRow="1" w:lastRow="0" w:firstColumn="1" w:lastColumn="0" w:noHBand="0" w:noVBand="1"/>
      </w:tblPr>
      <w:tblGrid>
        <w:gridCol w:w="3909"/>
        <w:gridCol w:w="1723"/>
        <w:gridCol w:w="920"/>
        <w:gridCol w:w="1871"/>
      </w:tblGrid>
      <w:tr w:rsidR="002A3E93" w:rsidRPr="00324325" w:rsidTr="00B26273">
        <w:trPr>
          <w:trHeight w:val="315"/>
        </w:trPr>
        <w:tc>
          <w:tcPr>
            <w:tcW w:w="3909" w:type="dxa"/>
            <w:noWrap/>
          </w:tcPr>
          <w:p w:rsidR="002A3E93" w:rsidRPr="001A24C6" w:rsidRDefault="002A3E93" w:rsidP="002A3E93">
            <w:pPr>
              <w:pStyle w:val="Brdtext"/>
              <w:rPr>
                <w:b/>
                <w:lang w:val="en-US"/>
              </w:rPr>
            </w:pPr>
            <w:proofErr w:type="spellStart"/>
            <w:r w:rsidRPr="001A24C6">
              <w:rPr>
                <w:b/>
                <w:lang w:val="en-US"/>
              </w:rPr>
              <w:t>Indikator</w:t>
            </w:r>
            <w:proofErr w:type="spellEnd"/>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71"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B26273">
        <w:trPr>
          <w:trHeight w:val="315"/>
        </w:trPr>
        <w:tc>
          <w:tcPr>
            <w:tcW w:w="3909" w:type="dxa"/>
            <w:noWrap/>
            <w:hideMark/>
          </w:tcPr>
          <w:p w:rsidR="002A3E93" w:rsidRPr="00D67408" w:rsidRDefault="002A3E93" w:rsidP="002A3E93">
            <w:pPr>
              <w:pStyle w:val="Brdtext"/>
              <w:rPr>
                <w:b/>
                <w:lang w:val="en-US"/>
              </w:rPr>
            </w:pPr>
            <w:r w:rsidRPr="00D67408">
              <w:rPr>
                <w:b/>
                <w:highlight w:val="green"/>
                <w:lang w:val="en-US"/>
              </w:rPr>
              <w:lastRenderedPageBreak/>
              <w:t>Research on economic growth and employment</w:t>
            </w:r>
          </w:p>
          <w:p w:rsidR="002A3E93" w:rsidRPr="00D67408" w:rsidRDefault="002A3E93" w:rsidP="002A3E93">
            <w:pPr>
              <w:pStyle w:val="Brdtext"/>
              <w:rPr>
                <w:highlight w:val="green"/>
                <w:lang w:val="en-US"/>
              </w:rPr>
            </w:pPr>
            <w:r w:rsidRPr="00D67408">
              <w:rPr>
                <w:highlight w:val="green"/>
                <w:lang w:val="en-US"/>
              </w:rPr>
              <w:t xml:space="preserve">Proportion of papers in the top 10 per cent of journals as defined by </w:t>
            </w:r>
            <w:proofErr w:type="spellStart"/>
            <w:r w:rsidRPr="00D67408">
              <w:rPr>
                <w:highlight w:val="green"/>
                <w:lang w:val="en-US"/>
              </w:rPr>
              <w:t>Citescore</w:t>
            </w:r>
            <w:proofErr w:type="spellEnd"/>
            <w:r w:rsidRPr="00D67408">
              <w:rPr>
                <w:highlight w:val="green"/>
                <w:lang w:val="en-US"/>
              </w:rPr>
              <w:t xml:space="preserve"> (14%)</w:t>
            </w:r>
          </w:p>
          <w:p w:rsidR="002A3E93" w:rsidRPr="008726EC" w:rsidRDefault="002A3E93" w:rsidP="002A3E93">
            <w:pPr>
              <w:pStyle w:val="Brdtext"/>
              <w:rPr>
                <w:highlight w:val="green"/>
                <w:lang w:val="en-US"/>
              </w:rPr>
            </w:pPr>
            <w:r w:rsidRPr="00D67408">
              <w:rPr>
                <w:highlight w:val="green"/>
                <w:lang w:val="en-US"/>
              </w:rPr>
              <w:t>Number of publications (13%)</w:t>
            </w:r>
          </w:p>
        </w:tc>
        <w:tc>
          <w:tcPr>
            <w:tcW w:w="1723" w:type="dxa"/>
            <w:noWrap/>
            <w:hideMark/>
          </w:tcPr>
          <w:p w:rsidR="002A3E93" w:rsidRPr="0053219A" w:rsidRDefault="002A3E93" w:rsidP="002A3E93">
            <w:pPr>
              <w:pStyle w:val="Brdtext"/>
              <w:rPr>
                <w:b/>
                <w:highlight w:val="green"/>
              </w:rPr>
            </w:pPr>
            <w:r w:rsidRPr="0053219A">
              <w:rPr>
                <w:b/>
                <w:highlight w:val="green"/>
              </w:rPr>
              <w:t>27%</w:t>
            </w:r>
          </w:p>
        </w:tc>
        <w:tc>
          <w:tcPr>
            <w:tcW w:w="920" w:type="dxa"/>
            <w:noWrap/>
            <w:hideMark/>
          </w:tcPr>
          <w:p w:rsidR="002A3E93" w:rsidRPr="0053219A" w:rsidRDefault="002A3E93" w:rsidP="002A3E93">
            <w:pPr>
              <w:pStyle w:val="Brdtext"/>
              <w:rPr>
                <w:b/>
                <w:highlight w:val="green"/>
              </w:rPr>
            </w:pPr>
            <w:r w:rsidRPr="0053219A">
              <w:rPr>
                <w:b/>
                <w:highlight w:val="green"/>
              </w:rPr>
              <w:t>93.7</w:t>
            </w:r>
          </w:p>
          <w:p w:rsidR="002A3E93" w:rsidRPr="00AF04BE" w:rsidRDefault="002A3E93" w:rsidP="002A3E93">
            <w:pPr>
              <w:pStyle w:val="Brdtext"/>
              <w:rPr>
                <w:highlight w:val="green"/>
              </w:rPr>
            </w:pPr>
            <w:r w:rsidRPr="00AF04BE">
              <w:rPr>
                <w:highlight w:val="green"/>
              </w:rPr>
              <w:t>88,6</w:t>
            </w:r>
          </w:p>
          <w:p w:rsidR="002A3E93" w:rsidRPr="00AF04BE" w:rsidRDefault="002A3E93" w:rsidP="002A3E93">
            <w:pPr>
              <w:pStyle w:val="Brdtext"/>
              <w:rPr>
                <w:highlight w:val="green"/>
              </w:rPr>
            </w:pPr>
          </w:p>
          <w:p w:rsidR="002A3E93" w:rsidRPr="008726EC" w:rsidRDefault="002A3E93" w:rsidP="002A3E93">
            <w:pPr>
              <w:pStyle w:val="Brdtext"/>
              <w:rPr>
                <w:highlight w:val="green"/>
              </w:rPr>
            </w:pPr>
            <w:r w:rsidRPr="00AF04BE">
              <w:rPr>
                <w:highlight w:val="green"/>
              </w:rPr>
              <w:t>99.2</w:t>
            </w:r>
          </w:p>
        </w:tc>
        <w:tc>
          <w:tcPr>
            <w:tcW w:w="1871" w:type="dxa"/>
            <w:noWrap/>
            <w:hideMark/>
          </w:tcPr>
          <w:p w:rsidR="002A3E93" w:rsidRPr="0053219A" w:rsidRDefault="002A3E93" w:rsidP="002A3E93">
            <w:pPr>
              <w:pStyle w:val="Brdtext"/>
              <w:rPr>
                <w:b/>
              </w:rPr>
            </w:pPr>
            <w:r w:rsidRPr="0053219A">
              <w:rPr>
                <w:b/>
              </w:rPr>
              <w:t>=91</w:t>
            </w:r>
          </w:p>
        </w:tc>
      </w:tr>
      <w:tr w:rsidR="002A3E93" w:rsidRPr="00DA2C92" w:rsidTr="00A5406B">
        <w:trPr>
          <w:trHeight w:val="315"/>
        </w:trPr>
        <w:tc>
          <w:tcPr>
            <w:tcW w:w="3909" w:type="dxa"/>
            <w:noWrap/>
            <w:hideMark/>
          </w:tcPr>
          <w:p w:rsidR="002A3E93" w:rsidRPr="00187448" w:rsidRDefault="002A3E93" w:rsidP="002A3E93">
            <w:pPr>
              <w:pStyle w:val="Brdtext"/>
              <w:rPr>
                <w:b/>
                <w:highlight w:val="yellow"/>
                <w:lang w:val="en-US"/>
              </w:rPr>
            </w:pPr>
            <w:r w:rsidRPr="00187448">
              <w:rPr>
                <w:b/>
                <w:highlight w:val="yellow"/>
                <w:lang w:val="en-US"/>
              </w:rPr>
              <w:t>Employment practices</w:t>
            </w:r>
          </w:p>
          <w:p w:rsidR="002A3E93" w:rsidRPr="0003172E" w:rsidRDefault="002A3E93" w:rsidP="002A3E93">
            <w:pPr>
              <w:pStyle w:val="Brdtext"/>
              <w:rPr>
                <w:highlight w:val="red"/>
                <w:lang w:val="en-US"/>
              </w:rPr>
            </w:pPr>
            <w:r w:rsidRPr="0003172E">
              <w:rPr>
                <w:highlight w:val="red"/>
                <w:lang w:val="en-US"/>
              </w:rPr>
              <w:t>Payment of a living wage to staff and faculty (2.45%)</w:t>
            </w:r>
          </w:p>
          <w:p w:rsidR="002A3E93" w:rsidRPr="0003172E" w:rsidRDefault="002A3E93" w:rsidP="002A3E93">
            <w:pPr>
              <w:pStyle w:val="Brdtext"/>
              <w:rPr>
                <w:highlight w:val="green"/>
                <w:lang w:val="en-US"/>
              </w:rPr>
            </w:pPr>
            <w:r w:rsidRPr="0003172E">
              <w:rPr>
                <w:highlight w:val="green"/>
                <w:lang w:val="en-US"/>
              </w:rPr>
              <w:t xml:space="preserve">Recognition of union and </w:t>
            </w:r>
            <w:proofErr w:type="spellStart"/>
            <w:r w:rsidRPr="0003172E">
              <w:rPr>
                <w:highlight w:val="green"/>
                <w:lang w:val="en-US"/>
              </w:rPr>
              <w:t>labour</w:t>
            </w:r>
            <w:proofErr w:type="spellEnd"/>
            <w:r w:rsidRPr="0003172E">
              <w:rPr>
                <w:highlight w:val="green"/>
                <w:lang w:val="en-US"/>
              </w:rPr>
              <w:t xml:space="preserve"> rights (2.45%)</w:t>
            </w:r>
          </w:p>
          <w:p w:rsidR="002A3E93" w:rsidRPr="0003172E" w:rsidRDefault="002A3E93" w:rsidP="002A3E93">
            <w:pPr>
              <w:pStyle w:val="Brdtext"/>
              <w:rPr>
                <w:highlight w:val="green"/>
                <w:lang w:val="en-US"/>
              </w:rPr>
            </w:pPr>
            <w:r w:rsidRPr="0003172E">
              <w:rPr>
                <w:highlight w:val="green"/>
                <w:lang w:val="en-US"/>
              </w:rPr>
              <w:t>Policy on ending discrimination in the workplace (2.45%)</w:t>
            </w:r>
          </w:p>
          <w:p w:rsidR="002A3E93" w:rsidRPr="0003172E" w:rsidRDefault="002A3E93" w:rsidP="002A3E93">
            <w:pPr>
              <w:pStyle w:val="Brdtext"/>
              <w:rPr>
                <w:highlight w:val="yellow"/>
                <w:lang w:val="en-US"/>
              </w:rPr>
            </w:pPr>
            <w:r w:rsidRPr="0003172E">
              <w:rPr>
                <w:highlight w:val="yellow"/>
                <w:lang w:val="en-US"/>
              </w:rPr>
              <w:t xml:space="preserve">Policy against modern slavery, forced </w:t>
            </w:r>
            <w:proofErr w:type="spellStart"/>
            <w:r w:rsidRPr="0003172E">
              <w:rPr>
                <w:highlight w:val="yellow"/>
                <w:lang w:val="en-US"/>
              </w:rPr>
              <w:t>labour</w:t>
            </w:r>
            <w:proofErr w:type="spellEnd"/>
            <w:r w:rsidRPr="0003172E">
              <w:rPr>
                <w:highlight w:val="yellow"/>
                <w:lang w:val="en-US"/>
              </w:rPr>
              <w:t xml:space="preserve">, human trafficking and child </w:t>
            </w:r>
            <w:proofErr w:type="spellStart"/>
            <w:r w:rsidRPr="0003172E">
              <w:rPr>
                <w:highlight w:val="yellow"/>
                <w:lang w:val="en-US"/>
              </w:rPr>
              <w:t>labour</w:t>
            </w:r>
            <w:proofErr w:type="spellEnd"/>
            <w:r w:rsidRPr="0003172E">
              <w:rPr>
                <w:highlight w:val="yellow"/>
                <w:lang w:val="en-US"/>
              </w:rPr>
              <w:t xml:space="preserve"> (2.45%)</w:t>
            </w:r>
          </w:p>
          <w:p w:rsidR="002A3E93" w:rsidRPr="0003172E" w:rsidRDefault="002A3E93" w:rsidP="002A3E93">
            <w:pPr>
              <w:pStyle w:val="Brdtext"/>
              <w:rPr>
                <w:highlight w:val="yellow"/>
                <w:lang w:val="en-US"/>
              </w:rPr>
            </w:pPr>
            <w:r w:rsidRPr="0003172E">
              <w:rPr>
                <w:highlight w:val="yellow"/>
                <w:lang w:val="en-US"/>
              </w:rPr>
              <w:t xml:space="preserve">Guarantees of equal rights for outsourced </w:t>
            </w:r>
            <w:proofErr w:type="spellStart"/>
            <w:r w:rsidRPr="0003172E">
              <w:rPr>
                <w:highlight w:val="yellow"/>
                <w:lang w:val="en-US"/>
              </w:rPr>
              <w:t>labour</w:t>
            </w:r>
            <w:proofErr w:type="spellEnd"/>
            <w:r w:rsidRPr="0003172E">
              <w:rPr>
                <w:highlight w:val="yellow"/>
                <w:lang w:val="en-US"/>
              </w:rPr>
              <w:t xml:space="preserve"> workers (2.45%)</w:t>
            </w:r>
          </w:p>
          <w:p w:rsidR="002A3E93" w:rsidRPr="0003172E" w:rsidRDefault="002A3E93" w:rsidP="002A3E93">
            <w:pPr>
              <w:pStyle w:val="Brdtext"/>
              <w:rPr>
                <w:highlight w:val="green"/>
                <w:lang w:val="en-US"/>
              </w:rPr>
            </w:pPr>
            <w:r w:rsidRPr="0003172E">
              <w:rPr>
                <w:highlight w:val="green"/>
                <w:lang w:val="en-US"/>
              </w:rPr>
              <w:t>Policy on pay scale equity, including commitment to measure and eliminate gender pay gaps (2.45%)</w:t>
            </w:r>
          </w:p>
          <w:p w:rsidR="002A3E93" w:rsidRPr="0003172E" w:rsidRDefault="002A3E93" w:rsidP="002A3E93">
            <w:pPr>
              <w:pStyle w:val="Brdtext"/>
              <w:rPr>
                <w:highlight w:val="red"/>
                <w:lang w:val="en-US"/>
              </w:rPr>
            </w:pPr>
            <w:r w:rsidRPr="0003172E">
              <w:rPr>
                <w:highlight w:val="red"/>
                <w:lang w:val="en-US"/>
              </w:rPr>
              <w:t>Measure or track pay scale gender equity (2.45%)</w:t>
            </w:r>
          </w:p>
          <w:p w:rsidR="002A3E93" w:rsidRPr="00D67408" w:rsidRDefault="002A3E93" w:rsidP="002A3E93">
            <w:pPr>
              <w:pStyle w:val="Brdtext"/>
              <w:rPr>
                <w:highlight w:val="yellow"/>
                <w:lang w:val="en-US"/>
              </w:rPr>
            </w:pPr>
            <w:r w:rsidRPr="0003172E">
              <w:rPr>
                <w:highlight w:val="green"/>
                <w:lang w:val="en-US"/>
              </w:rPr>
              <w:t>Process for employees to appeal decisions on rights and pay (2.45%)</w:t>
            </w:r>
          </w:p>
        </w:tc>
        <w:tc>
          <w:tcPr>
            <w:tcW w:w="1723" w:type="dxa"/>
            <w:noWrap/>
            <w:hideMark/>
          </w:tcPr>
          <w:p w:rsidR="002A3E93" w:rsidRPr="008726EC" w:rsidRDefault="002A3E93" w:rsidP="002A3E93">
            <w:pPr>
              <w:pStyle w:val="Brdtext"/>
              <w:rPr>
                <w:highlight w:val="yellow"/>
              </w:rPr>
            </w:pPr>
            <w:r w:rsidRPr="008726EC">
              <w:rPr>
                <w:highlight w:val="yellow"/>
              </w:rPr>
              <w:t>19.6</w:t>
            </w:r>
            <w:r>
              <w:rPr>
                <w:highlight w:val="yellow"/>
              </w:rPr>
              <w:t>%</w:t>
            </w:r>
          </w:p>
        </w:tc>
        <w:tc>
          <w:tcPr>
            <w:tcW w:w="920" w:type="dxa"/>
            <w:shd w:val="clear" w:color="auto" w:fill="auto"/>
            <w:noWrap/>
            <w:hideMark/>
          </w:tcPr>
          <w:p w:rsidR="002A3E93" w:rsidRDefault="002A3E93" w:rsidP="002A3E93">
            <w:pPr>
              <w:pStyle w:val="Brdtext"/>
              <w:rPr>
                <w:highlight w:val="yellow"/>
              </w:rPr>
            </w:pPr>
            <w:r w:rsidRPr="008726EC">
              <w:rPr>
                <w:highlight w:val="yellow"/>
              </w:rPr>
              <w:t>70.8</w:t>
            </w:r>
          </w:p>
          <w:p w:rsidR="002A3E93" w:rsidRPr="00A5406B" w:rsidRDefault="002A3E93" w:rsidP="002A3E93">
            <w:pPr>
              <w:pStyle w:val="Brdtext"/>
            </w:pPr>
            <w:r w:rsidRPr="00F525E0">
              <w:rPr>
                <w:highlight w:val="red"/>
              </w:rPr>
              <w:t>33.3</w:t>
            </w:r>
          </w:p>
          <w:p w:rsidR="002A3E93" w:rsidRPr="00A5406B" w:rsidRDefault="002A3E93" w:rsidP="002A3E93">
            <w:pPr>
              <w:pStyle w:val="Brdtext"/>
            </w:pPr>
          </w:p>
          <w:p w:rsidR="002A3E93" w:rsidRPr="00A5406B" w:rsidRDefault="002A3E93" w:rsidP="002A3E93">
            <w:pPr>
              <w:pStyle w:val="Brdtext"/>
            </w:pPr>
            <w:r w:rsidRPr="00AF04BE">
              <w:rPr>
                <w:highlight w:val="green"/>
              </w:rPr>
              <w:t>100</w:t>
            </w:r>
          </w:p>
          <w:p w:rsidR="002A3E93" w:rsidRPr="00A5406B" w:rsidRDefault="002A3E93" w:rsidP="002A3E93">
            <w:pPr>
              <w:pStyle w:val="Brdtext"/>
            </w:pPr>
            <w:r w:rsidRPr="00AF04BE">
              <w:rPr>
                <w:highlight w:val="green"/>
              </w:rPr>
              <w:t>100</w:t>
            </w:r>
          </w:p>
          <w:p w:rsidR="002A3E93" w:rsidRDefault="002A3E93" w:rsidP="002A3E93">
            <w:pPr>
              <w:pStyle w:val="Brdtext"/>
              <w:rPr>
                <w:highlight w:val="yellow"/>
              </w:rPr>
            </w:pPr>
          </w:p>
          <w:p w:rsidR="002A3E93" w:rsidRPr="00437B07" w:rsidRDefault="002A3E93" w:rsidP="002A3E93">
            <w:pPr>
              <w:pStyle w:val="Brdtext"/>
              <w:rPr>
                <w:highlight w:val="yellow"/>
              </w:rPr>
            </w:pPr>
            <w:r w:rsidRPr="00437B07">
              <w:rPr>
                <w:highlight w:val="yellow"/>
              </w:rPr>
              <w:t>50</w:t>
            </w:r>
          </w:p>
          <w:p w:rsidR="002A3E93" w:rsidRPr="00A5406B" w:rsidRDefault="002A3E93" w:rsidP="002A3E93">
            <w:pPr>
              <w:pStyle w:val="Brdtext"/>
            </w:pPr>
            <w:r w:rsidRPr="00437B07">
              <w:rPr>
                <w:highlight w:val="yellow"/>
              </w:rPr>
              <w:t>50</w:t>
            </w:r>
          </w:p>
          <w:p w:rsidR="002A3E93" w:rsidRDefault="002A3E93" w:rsidP="002A3E93">
            <w:pPr>
              <w:pStyle w:val="Brdtext"/>
            </w:pPr>
          </w:p>
          <w:p w:rsidR="002A3E93" w:rsidRPr="00A5406B" w:rsidRDefault="002A3E93" w:rsidP="002A3E93">
            <w:pPr>
              <w:pStyle w:val="Brdtext"/>
            </w:pPr>
            <w:r w:rsidRPr="00AF04BE">
              <w:rPr>
                <w:highlight w:val="green"/>
              </w:rPr>
              <w:t>100</w:t>
            </w:r>
          </w:p>
          <w:p w:rsidR="002A3E93" w:rsidRPr="00A5406B" w:rsidRDefault="002A3E93" w:rsidP="002A3E93">
            <w:pPr>
              <w:pStyle w:val="Brdtext"/>
            </w:pPr>
          </w:p>
          <w:p w:rsidR="002A3E93" w:rsidRPr="00F525E0" w:rsidRDefault="002A3E93" w:rsidP="002A3E93">
            <w:pPr>
              <w:pStyle w:val="Brdtext"/>
            </w:pPr>
            <w:r w:rsidRPr="00F525E0">
              <w:rPr>
                <w:highlight w:val="red"/>
              </w:rPr>
              <w:t>33,3</w:t>
            </w:r>
          </w:p>
          <w:p w:rsidR="002A3E93" w:rsidRDefault="002A3E93" w:rsidP="002A3E93">
            <w:pPr>
              <w:pStyle w:val="Brdtext"/>
              <w:rPr>
                <w:highlight w:val="yellow"/>
              </w:rPr>
            </w:pPr>
          </w:p>
          <w:p w:rsidR="002A3E93" w:rsidRPr="008726EC" w:rsidRDefault="002A3E93" w:rsidP="002A3E93">
            <w:pPr>
              <w:pStyle w:val="Brdtext"/>
              <w:rPr>
                <w:highlight w:val="yellow"/>
              </w:rPr>
            </w:pPr>
            <w:r w:rsidRPr="00AF04BE">
              <w:rPr>
                <w:highlight w:val="green"/>
              </w:rPr>
              <w:t>100</w:t>
            </w:r>
          </w:p>
        </w:tc>
        <w:tc>
          <w:tcPr>
            <w:tcW w:w="1871" w:type="dxa"/>
            <w:noWrap/>
          </w:tcPr>
          <w:p w:rsidR="002A3E93" w:rsidRPr="00AF04BE" w:rsidRDefault="002A3E93" w:rsidP="002A3E93">
            <w:pPr>
              <w:pStyle w:val="Brdtext"/>
              <w:rPr>
                <w:lang w:val="en-US"/>
              </w:rPr>
            </w:pP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r w:rsidRPr="00AF04BE">
              <w:rPr>
                <w:lang w:val="en-US"/>
              </w:rPr>
              <w:t>Evidence not provided</w:t>
            </w:r>
          </w:p>
          <w:p w:rsidR="002A3E93" w:rsidRDefault="002A3E93" w:rsidP="002A3E93">
            <w:pPr>
              <w:pStyle w:val="Brdtext"/>
              <w:rPr>
                <w:lang w:val="en-US"/>
              </w:rPr>
            </w:pPr>
          </w:p>
          <w:p w:rsidR="00F525E0" w:rsidRPr="00AF04BE" w:rsidRDefault="00F525E0" w:rsidP="002A3E93">
            <w:pPr>
              <w:pStyle w:val="Brdtext"/>
              <w:rPr>
                <w:lang w:val="en-US"/>
              </w:rPr>
            </w:pP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p>
        </w:tc>
      </w:tr>
      <w:tr w:rsidR="002A3E93" w:rsidRPr="00324325" w:rsidTr="00B26273">
        <w:trPr>
          <w:trHeight w:val="315"/>
        </w:trPr>
        <w:tc>
          <w:tcPr>
            <w:tcW w:w="3909" w:type="dxa"/>
            <w:noWrap/>
            <w:hideMark/>
          </w:tcPr>
          <w:p w:rsidR="002A3E93" w:rsidRPr="00D67408" w:rsidRDefault="002A3E93" w:rsidP="002A3E93">
            <w:pPr>
              <w:pStyle w:val="Brdtext"/>
              <w:rPr>
                <w:b/>
                <w:highlight w:val="yellow"/>
              </w:rPr>
            </w:pPr>
            <w:proofErr w:type="spellStart"/>
            <w:r w:rsidRPr="00D67408">
              <w:rPr>
                <w:b/>
                <w:highlight w:val="yellow"/>
              </w:rPr>
              <w:t>Expenditure</w:t>
            </w:r>
            <w:proofErr w:type="spellEnd"/>
            <w:r w:rsidRPr="00D67408">
              <w:rPr>
                <w:b/>
                <w:highlight w:val="yellow"/>
              </w:rPr>
              <w:t xml:space="preserve"> per </w:t>
            </w:r>
            <w:proofErr w:type="spellStart"/>
            <w:r w:rsidRPr="00D67408">
              <w:rPr>
                <w:b/>
                <w:highlight w:val="yellow"/>
              </w:rPr>
              <w:t>employee</w:t>
            </w:r>
            <w:proofErr w:type="spellEnd"/>
          </w:p>
        </w:tc>
        <w:tc>
          <w:tcPr>
            <w:tcW w:w="1723" w:type="dxa"/>
            <w:noWrap/>
            <w:hideMark/>
          </w:tcPr>
          <w:p w:rsidR="002A3E93" w:rsidRPr="0053219A" w:rsidRDefault="002A3E93" w:rsidP="002A3E93">
            <w:pPr>
              <w:pStyle w:val="Brdtext"/>
              <w:rPr>
                <w:b/>
                <w:highlight w:val="yellow"/>
              </w:rPr>
            </w:pPr>
            <w:r w:rsidRPr="0053219A">
              <w:rPr>
                <w:b/>
                <w:highlight w:val="yellow"/>
              </w:rPr>
              <w:t>15.4%</w:t>
            </w:r>
          </w:p>
        </w:tc>
        <w:tc>
          <w:tcPr>
            <w:tcW w:w="920" w:type="dxa"/>
            <w:noWrap/>
            <w:hideMark/>
          </w:tcPr>
          <w:p w:rsidR="002A3E93" w:rsidRPr="0053219A" w:rsidRDefault="002A3E93" w:rsidP="002A3E93">
            <w:pPr>
              <w:pStyle w:val="Brdtext"/>
              <w:rPr>
                <w:b/>
                <w:highlight w:val="yellow"/>
              </w:rPr>
            </w:pPr>
            <w:r w:rsidRPr="0053219A">
              <w:rPr>
                <w:b/>
                <w:highlight w:val="yellow"/>
              </w:rPr>
              <w:t>40.4</w:t>
            </w:r>
          </w:p>
        </w:tc>
        <w:tc>
          <w:tcPr>
            <w:tcW w:w="1871" w:type="dxa"/>
            <w:noWrap/>
          </w:tcPr>
          <w:p w:rsidR="002A3E93" w:rsidRPr="00324325" w:rsidRDefault="002A3E93" w:rsidP="002A3E93">
            <w:pPr>
              <w:pStyle w:val="Brdtext"/>
            </w:pPr>
          </w:p>
        </w:tc>
      </w:tr>
      <w:tr w:rsidR="002A3E93" w:rsidRPr="00324325" w:rsidTr="00B26273">
        <w:trPr>
          <w:trHeight w:val="315"/>
        </w:trPr>
        <w:tc>
          <w:tcPr>
            <w:tcW w:w="3909" w:type="dxa"/>
            <w:noWrap/>
            <w:hideMark/>
          </w:tcPr>
          <w:p w:rsidR="002A3E93" w:rsidRPr="00D67408" w:rsidRDefault="002A3E93" w:rsidP="002A3E93">
            <w:pPr>
              <w:pStyle w:val="Brdtext"/>
              <w:rPr>
                <w:b/>
                <w:highlight w:val="red"/>
                <w:lang w:val="en-US"/>
              </w:rPr>
            </w:pPr>
            <w:r w:rsidRPr="00D67408">
              <w:rPr>
                <w:b/>
                <w:highlight w:val="red"/>
                <w:lang w:val="en-US"/>
              </w:rPr>
              <w:t>Proportion of students taking work placements</w:t>
            </w:r>
          </w:p>
        </w:tc>
        <w:tc>
          <w:tcPr>
            <w:tcW w:w="1723" w:type="dxa"/>
            <w:noWrap/>
            <w:hideMark/>
          </w:tcPr>
          <w:p w:rsidR="002A3E93" w:rsidRPr="0053219A" w:rsidRDefault="002A3E93" w:rsidP="002A3E93">
            <w:pPr>
              <w:pStyle w:val="Brdtext"/>
              <w:rPr>
                <w:b/>
                <w:highlight w:val="red"/>
              </w:rPr>
            </w:pPr>
            <w:r w:rsidRPr="0053219A">
              <w:rPr>
                <w:b/>
                <w:highlight w:val="red"/>
              </w:rPr>
              <w:t>19%</w:t>
            </w:r>
          </w:p>
        </w:tc>
        <w:tc>
          <w:tcPr>
            <w:tcW w:w="920" w:type="dxa"/>
            <w:noWrap/>
            <w:hideMark/>
          </w:tcPr>
          <w:p w:rsidR="002A3E93" w:rsidRPr="0053219A" w:rsidRDefault="002A3E93" w:rsidP="002A3E93">
            <w:pPr>
              <w:pStyle w:val="Brdtext"/>
              <w:rPr>
                <w:b/>
                <w:highlight w:val="red"/>
              </w:rPr>
            </w:pPr>
            <w:r w:rsidRPr="0053219A">
              <w:rPr>
                <w:b/>
                <w:highlight w:val="red"/>
              </w:rPr>
              <w:t>29.7</w:t>
            </w:r>
          </w:p>
        </w:tc>
        <w:tc>
          <w:tcPr>
            <w:tcW w:w="1871" w:type="dxa"/>
            <w:noWrap/>
          </w:tcPr>
          <w:p w:rsidR="002A3E93" w:rsidRPr="00324325" w:rsidRDefault="002A3E93" w:rsidP="002A3E93">
            <w:pPr>
              <w:pStyle w:val="Brdtext"/>
            </w:pPr>
          </w:p>
        </w:tc>
      </w:tr>
      <w:tr w:rsidR="002A3E93" w:rsidRPr="00324325" w:rsidTr="00B26273">
        <w:trPr>
          <w:trHeight w:val="315"/>
        </w:trPr>
        <w:tc>
          <w:tcPr>
            <w:tcW w:w="3909" w:type="dxa"/>
            <w:noWrap/>
            <w:hideMark/>
          </w:tcPr>
          <w:p w:rsidR="002A3E93" w:rsidRPr="00D67408" w:rsidRDefault="002A3E93" w:rsidP="002A3E93">
            <w:pPr>
              <w:pStyle w:val="Brdtext"/>
              <w:rPr>
                <w:b/>
                <w:highlight w:val="yellow"/>
                <w:lang w:val="en-US"/>
              </w:rPr>
            </w:pPr>
            <w:r w:rsidRPr="00D67408">
              <w:rPr>
                <w:b/>
                <w:highlight w:val="yellow"/>
                <w:lang w:val="en-US"/>
              </w:rPr>
              <w:t>Proportion of employees on secure contracts</w:t>
            </w:r>
          </w:p>
        </w:tc>
        <w:tc>
          <w:tcPr>
            <w:tcW w:w="1723" w:type="dxa"/>
            <w:noWrap/>
            <w:hideMark/>
          </w:tcPr>
          <w:p w:rsidR="002A3E93" w:rsidRPr="0053219A" w:rsidRDefault="002A3E93" w:rsidP="002A3E93">
            <w:pPr>
              <w:pStyle w:val="Brdtext"/>
              <w:rPr>
                <w:b/>
                <w:highlight w:val="yellow"/>
              </w:rPr>
            </w:pPr>
            <w:r w:rsidRPr="0053219A">
              <w:rPr>
                <w:b/>
                <w:highlight w:val="yellow"/>
              </w:rPr>
              <w:t>19%</w:t>
            </w:r>
          </w:p>
        </w:tc>
        <w:tc>
          <w:tcPr>
            <w:tcW w:w="920" w:type="dxa"/>
            <w:noWrap/>
            <w:hideMark/>
          </w:tcPr>
          <w:p w:rsidR="002A3E93" w:rsidRPr="0053219A" w:rsidRDefault="002A3E93" w:rsidP="002A3E93">
            <w:pPr>
              <w:pStyle w:val="Brdtext"/>
              <w:rPr>
                <w:b/>
                <w:highlight w:val="yellow"/>
              </w:rPr>
            </w:pPr>
            <w:r w:rsidRPr="0053219A">
              <w:rPr>
                <w:b/>
                <w:highlight w:val="yellow"/>
              </w:rPr>
              <w:t>79.4</w:t>
            </w:r>
          </w:p>
        </w:tc>
        <w:tc>
          <w:tcPr>
            <w:tcW w:w="1871" w:type="dxa"/>
            <w:noWrap/>
          </w:tcPr>
          <w:p w:rsidR="002A3E93" w:rsidRPr="00324325" w:rsidRDefault="002A3E93" w:rsidP="002A3E93">
            <w:pPr>
              <w:pStyle w:val="Brdtext"/>
            </w:pPr>
          </w:p>
        </w:tc>
      </w:tr>
    </w:tbl>
    <w:p w:rsidR="00324325" w:rsidRDefault="00324325" w:rsidP="00324325">
      <w:pPr>
        <w:pStyle w:val="Brdtext"/>
      </w:pPr>
    </w:p>
    <w:p w:rsidR="00414134" w:rsidRDefault="00792003" w:rsidP="00324325">
      <w:pPr>
        <w:pStyle w:val="Brdtext"/>
      </w:pPr>
      <w:r>
        <w:t xml:space="preserve">KTH hävdar sig väl inom fler av indikatorerna, men </w:t>
      </w:r>
      <w:r w:rsidR="00DA5325">
        <w:t xml:space="preserve">presterar svagt inom utgifter per anställd, </w:t>
      </w:r>
      <w:r w:rsidR="00C04F3D">
        <w:t>måttet mäter</w:t>
      </w:r>
      <w:r w:rsidR="00DA5325">
        <w:t xml:space="preserve"> KTH:s totala omsättning som slagits mot det totala antalet anställda</w:t>
      </w:r>
      <w:r w:rsidR="007E48B8">
        <w:t xml:space="preserve"> och </w:t>
      </w:r>
      <w:r w:rsidR="00914635">
        <w:t xml:space="preserve">sedan </w:t>
      </w:r>
      <w:r w:rsidR="007E48B8">
        <w:t>normaliserats genom att slå resultatet mot bruttonationalprodukten</w:t>
      </w:r>
      <w:r w:rsidR="00914635">
        <w:t xml:space="preserve"> i regionen</w:t>
      </w:r>
      <w:r w:rsidR="007E48B8">
        <w:t xml:space="preserve"> per </w:t>
      </w:r>
      <w:r w:rsidR="007E48B8">
        <w:lastRenderedPageBreak/>
        <w:t>capita</w:t>
      </w:r>
      <w:r w:rsidR="00DA5325">
        <w:t>, samt andel studenter som gör praktik.</w:t>
      </w:r>
      <w:r w:rsidR="007E48B8">
        <w:rPr>
          <w:rStyle w:val="Fotnotsreferens"/>
        </w:rPr>
        <w:footnoteReference w:id="2"/>
      </w:r>
      <w:r w:rsidR="00DA5325">
        <w:t xml:space="preserve"> För att hävda sig </w:t>
      </w:r>
      <w:r w:rsidR="00917CF3">
        <w:t>inom denna SDG</w:t>
      </w:r>
      <w:r w:rsidR="00DA5325">
        <w:t xml:space="preserve"> måste K</w:t>
      </w:r>
      <w:r w:rsidR="00B745A0">
        <w:t>TH jobba mer akti</w:t>
      </w:r>
      <w:r w:rsidR="00917CF3">
        <w:t>vt</w:t>
      </w:r>
      <w:r w:rsidR="00B745A0">
        <w:t xml:space="preserve"> för att förse</w:t>
      </w:r>
      <w:r w:rsidR="00DA5325">
        <w:t xml:space="preserve"> studenter med praktikplatser. </w:t>
      </w:r>
    </w:p>
    <w:p w:rsidR="003F77BA" w:rsidRDefault="003F77BA" w:rsidP="00324325">
      <w:pPr>
        <w:pStyle w:val="Brdtext"/>
      </w:pPr>
      <w:r w:rsidRPr="003F77BA">
        <w:t>En policy krävs för att få full poäng inom d</w:t>
      </w:r>
      <w:r>
        <w:t xml:space="preserve">e indikatorer som efterfrågar en policy. </w:t>
      </w:r>
    </w:p>
    <w:p w:rsidR="00156524" w:rsidRDefault="00156524" w:rsidP="00324325">
      <w:pPr>
        <w:pStyle w:val="Brdtext"/>
      </w:pPr>
    </w:p>
    <w:p w:rsidR="00324325" w:rsidRPr="00285443" w:rsidRDefault="00324325" w:rsidP="000C272F">
      <w:pPr>
        <w:pStyle w:val="Rubrik3"/>
        <w:rPr>
          <w:lang w:val="en-US"/>
        </w:rPr>
      </w:pPr>
      <w:bookmarkStart w:id="10" w:name="_Toc52351577"/>
      <w:r w:rsidRPr="007E48B8">
        <w:t>SDG 9</w:t>
      </w:r>
      <w:r w:rsidR="00AF18C7" w:rsidRPr="007E48B8">
        <w:t xml:space="preserve"> Industry, Innovation and </w:t>
      </w:r>
      <w:proofErr w:type="spellStart"/>
      <w:r w:rsidR="00AF18C7" w:rsidRPr="007E48B8">
        <w:t>Infrastr</w:t>
      </w:r>
      <w:r w:rsidR="00AF18C7" w:rsidRPr="00C04F3D">
        <w:t>uc</w:t>
      </w:r>
      <w:r w:rsidR="00AF18C7" w:rsidRPr="00285443">
        <w:rPr>
          <w:lang w:val="en-US"/>
        </w:rPr>
        <w:t>ture</w:t>
      </w:r>
      <w:bookmarkEnd w:id="10"/>
      <w:proofErr w:type="spellEnd"/>
    </w:p>
    <w:tbl>
      <w:tblPr>
        <w:tblStyle w:val="Tabellrutnt"/>
        <w:tblW w:w="0" w:type="auto"/>
        <w:tblLook w:val="04A0" w:firstRow="1" w:lastRow="0" w:firstColumn="1" w:lastColumn="0" w:noHBand="0" w:noVBand="1"/>
      </w:tblPr>
      <w:tblGrid>
        <w:gridCol w:w="3909"/>
        <w:gridCol w:w="1723"/>
        <w:gridCol w:w="920"/>
        <w:gridCol w:w="1871"/>
      </w:tblGrid>
      <w:tr w:rsidR="002A3E93" w:rsidRPr="00324325" w:rsidTr="0007415D">
        <w:trPr>
          <w:trHeight w:val="315"/>
        </w:trPr>
        <w:tc>
          <w:tcPr>
            <w:tcW w:w="3909" w:type="dxa"/>
            <w:noWrap/>
          </w:tcPr>
          <w:p w:rsidR="002A3E93" w:rsidRPr="001A24C6" w:rsidRDefault="002A3E93" w:rsidP="002A3E93">
            <w:pPr>
              <w:pStyle w:val="Brdtext"/>
              <w:rPr>
                <w:b/>
                <w:lang w:val="en-US"/>
              </w:rPr>
            </w:pPr>
            <w:proofErr w:type="spellStart"/>
            <w:r w:rsidRPr="001A24C6">
              <w:rPr>
                <w:b/>
                <w:lang w:val="en-US"/>
              </w:rPr>
              <w:t>Indikator</w:t>
            </w:r>
            <w:proofErr w:type="spellEnd"/>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71"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07415D">
        <w:trPr>
          <w:trHeight w:val="315"/>
        </w:trPr>
        <w:tc>
          <w:tcPr>
            <w:tcW w:w="3909" w:type="dxa"/>
            <w:noWrap/>
            <w:hideMark/>
          </w:tcPr>
          <w:p w:rsidR="002A3E93" w:rsidRPr="008726EC" w:rsidRDefault="002A3E93" w:rsidP="002A3E93">
            <w:pPr>
              <w:pStyle w:val="Brdtext"/>
              <w:rPr>
                <w:highlight w:val="green"/>
                <w:lang w:val="en-US"/>
              </w:rPr>
            </w:pPr>
            <w:r w:rsidRPr="008726EC">
              <w:rPr>
                <w:highlight w:val="green"/>
                <w:lang w:val="en-US"/>
              </w:rPr>
              <w:t>Research on industry, innovation and infrastructure</w:t>
            </w:r>
          </w:p>
        </w:tc>
        <w:tc>
          <w:tcPr>
            <w:tcW w:w="1723" w:type="dxa"/>
            <w:noWrap/>
            <w:hideMark/>
          </w:tcPr>
          <w:p w:rsidR="002A3E93" w:rsidRPr="0053219A" w:rsidRDefault="002A3E93" w:rsidP="002A3E93">
            <w:pPr>
              <w:pStyle w:val="Brdtext"/>
              <w:rPr>
                <w:b/>
                <w:highlight w:val="green"/>
              </w:rPr>
            </w:pPr>
            <w:r w:rsidRPr="0053219A">
              <w:rPr>
                <w:b/>
                <w:highlight w:val="green"/>
              </w:rPr>
              <w:t>11.6%</w:t>
            </w:r>
          </w:p>
        </w:tc>
        <w:tc>
          <w:tcPr>
            <w:tcW w:w="920" w:type="dxa"/>
            <w:noWrap/>
            <w:hideMark/>
          </w:tcPr>
          <w:p w:rsidR="002A3E93" w:rsidRPr="0053219A" w:rsidRDefault="002A3E93" w:rsidP="002A3E93">
            <w:pPr>
              <w:pStyle w:val="Brdtext"/>
              <w:rPr>
                <w:b/>
                <w:highlight w:val="green"/>
              </w:rPr>
            </w:pPr>
            <w:r w:rsidRPr="0053219A">
              <w:rPr>
                <w:b/>
                <w:highlight w:val="green"/>
              </w:rPr>
              <w:t>100</w:t>
            </w:r>
          </w:p>
        </w:tc>
        <w:tc>
          <w:tcPr>
            <w:tcW w:w="1871" w:type="dxa"/>
            <w:noWrap/>
            <w:hideMark/>
          </w:tcPr>
          <w:p w:rsidR="002A3E93" w:rsidRPr="0053219A" w:rsidRDefault="002A3E93" w:rsidP="002A3E93">
            <w:pPr>
              <w:pStyle w:val="Brdtext"/>
              <w:rPr>
                <w:b/>
              </w:rPr>
            </w:pPr>
            <w:r w:rsidRPr="0053219A">
              <w:rPr>
                <w:b/>
              </w:rPr>
              <w:t>101–200</w:t>
            </w:r>
          </w:p>
        </w:tc>
      </w:tr>
      <w:tr w:rsidR="002A3E93" w:rsidRPr="00324325" w:rsidTr="0007415D">
        <w:trPr>
          <w:trHeight w:val="315"/>
        </w:trPr>
        <w:tc>
          <w:tcPr>
            <w:tcW w:w="3909" w:type="dxa"/>
            <w:noWrap/>
            <w:hideMark/>
          </w:tcPr>
          <w:p w:rsidR="002A3E93" w:rsidRPr="008726EC" w:rsidRDefault="002A3E93" w:rsidP="002A3E93">
            <w:pPr>
              <w:pStyle w:val="Brdtext"/>
              <w:rPr>
                <w:highlight w:val="green"/>
              </w:rPr>
            </w:pPr>
            <w:r w:rsidRPr="008726EC">
              <w:rPr>
                <w:highlight w:val="green"/>
              </w:rPr>
              <w:t xml:space="preserve">Patents </w:t>
            </w:r>
            <w:proofErr w:type="spellStart"/>
            <w:r w:rsidRPr="008726EC">
              <w:rPr>
                <w:highlight w:val="green"/>
              </w:rPr>
              <w:t>citing</w:t>
            </w:r>
            <w:proofErr w:type="spellEnd"/>
            <w:r w:rsidRPr="008726EC">
              <w:rPr>
                <w:highlight w:val="green"/>
              </w:rPr>
              <w:t xml:space="preserve"> </w:t>
            </w:r>
            <w:proofErr w:type="spellStart"/>
            <w:r w:rsidRPr="008726EC">
              <w:rPr>
                <w:highlight w:val="green"/>
              </w:rPr>
              <w:t>university</w:t>
            </w:r>
            <w:proofErr w:type="spellEnd"/>
            <w:r w:rsidRPr="008726EC">
              <w:rPr>
                <w:highlight w:val="green"/>
              </w:rPr>
              <w:t xml:space="preserve"> research</w:t>
            </w:r>
          </w:p>
        </w:tc>
        <w:tc>
          <w:tcPr>
            <w:tcW w:w="1723" w:type="dxa"/>
            <w:noWrap/>
            <w:hideMark/>
          </w:tcPr>
          <w:p w:rsidR="002A3E93" w:rsidRPr="008726EC" w:rsidRDefault="002A3E93" w:rsidP="002A3E93">
            <w:pPr>
              <w:pStyle w:val="Brdtext"/>
              <w:rPr>
                <w:highlight w:val="green"/>
              </w:rPr>
            </w:pPr>
            <w:r w:rsidRPr="008726EC">
              <w:rPr>
                <w:highlight w:val="green"/>
              </w:rPr>
              <w:t>15.4</w:t>
            </w:r>
            <w:r>
              <w:rPr>
                <w:highlight w:val="green"/>
              </w:rPr>
              <w:t>%</w:t>
            </w:r>
          </w:p>
        </w:tc>
        <w:tc>
          <w:tcPr>
            <w:tcW w:w="920" w:type="dxa"/>
            <w:noWrap/>
            <w:hideMark/>
          </w:tcPr>
          <w:p w:rsidR="002A3E93" w:rsidRPr="008726EC" w:rsidRDefault="002A3E93" w:rsidP="002A3E93">
            <w:pPr>
              <w:pStyle w:val="Brdtext"/>
              <w:rPr>
                <w:highlight w:val="green"/>
              </w:rPr>
            </w:pPr>
            <w:r w:rsidRPr="008726EC">
              <w:rPr>
                <w:highlight w:val="green"/>
              </w:rPr>
              <w:t>100</w:t>
            </w:r>
          </w:p>
        </w:tc>
        <w:tc>
          <w:tcPr>
            <w:tcW w:w="1871" w:type="dxa"/>
            <w:noWrap/>
          </w:tcPr>
          <w:p w:rsidR="002A3E93" w:rsidRPr="00324325" w:rsidRDefault="002A3E93" w:rsidP="002A3E93">
            <w:pPr>
              <w:pStyle w:val="Brdtext"/>
            </w:pPr>
          </w:p>
        </w:tc>
      </w:tr>
      <w:tr w:rsidR="002A3E93" w:rsidRPr="00324325" w:rsidTr="0007415D">
        <w:trPr>
          <w:trHeight w:val="315"/>
        </w:trPr>
        <w:tc>
          <w:tcPr>
            <w:tcW w:w="3909" w:type="dxa"/>
            <w:noWrap/>
            <w:hideMark/>
          </w:tcPr>
          <w:p w:rsidR="002A3E93" w:rsidRPr="008726EC" w:rsidRDefault="002A3E93" w:rsidP="002A3E93">
            <w:pPr>
              <w:pStyle w:val="Brdtext"/>
              <w:rPr>
                <w:highlight w:val="green"/>
              </w:rPr>
            </w:pPr>
            <w:r w:rsidRPr="008726EC">
              <w:rPr>
                <w:highlight w:val="green"/>
              </w:rPr>
              <w:t>University spin-offs</w:t>
            </w:r>
          </w:p>
        </w:tc>
        <w:tc>
          <w:tcPr>
            <w:tcW w:w="1723" w:type="dxa"/>
            <w:noWrap/>
            <w:hideMark/>
          </w:tcPr>
          <w:p w:rsidR="002A3E93" w:rsidRPr="008726EC" w:rsidRDefault="002A3E93" w:rsidP="002A3E93">
            <w:pPr>
              <w:pStyle w:val="Brdtext"/>
              <w:rPr>
                <w:highlight w:val="green"/>
              </w:rPr>
            </w:pPr>
            <w:r w:rsidRPr="008726EC">
              <w:rPr>
                <w:highlight w:val="green"/>
              </w:rPr>
              <w:t>34.6</w:t>
            </w:r>
            <w:r>
              <w:rPr>
                <w:highlight w:val="green"/>
              </w:rPr>
              <w:t>%</w:t>
            </w:r>
          </w:p>
        </w:tc>
        <w:tc>
          <w:tcPr>
            <w:tcW w:w="920" w:type="dxa"/>
            <w:noWrap/>
            <w:hideMark/>
          </w:tcPr>
          <w:p w:rsidR="002A3E93" w:rsidRPr="008726EC" w:rsidRDefault="002A3E93" w:rsidP="002A3E93">
            <w:pPr>
              <w:pStyle w:val="Brdtext"/>
              <w:rPr>
                <w:highlight w:val="green"/>
              </w:rPr>
            </w:pPr>
            <w:r w:rsidRPr="008726EC">
              <w:rPr>
                <w:highlight w:val="green"/>
              </w:rPr>
              <w:t>100</w:t>
            </w:r>
          </w:p>
        </w:tc>
        <w:tc>
          <w:tcPr>
            <w:tcW w:w="1871" w:type="dxa"/>
            <w:noWrap/>
          </w:tcPr>
          <w:p w:rsidR="002A3E93" w:rsidRPr="00324325" w:rsidRDefault="002A3E93" w:rsidP="002A3E93">
            <w:pPr>
              <w:pStyle w:val="Brdtext"/>
            </w:pPr>
          </w:p>
        </w:tc>
      </w:tr>
      <w:tr w:rsidR="002A3E93" w:rsidRPr="00324325" w:rsidTr="0007415D">
        <w:trPr>
          <w:trHeight w:val="40"/>
        </w:trPr>
        <w:tc>
          <w:tcPr>
            <w:tcW w:w="3909" w:type="dxa"/>
            <w:noWrap/>
            <w:hideMark/>
          </w:tcPr>
          <w:p w:rsidR="002A3E93" w:rsidRPr="0085185B" w:rsidRDefault="002A3E93" w:rsidP="002A3E93">
            <w:pPr>
              <w:pStyle w:val="Brdtext"/>
              <w:rPr>
                <w:highlight w:val="red"/>
              </w:rPr>
            </w:pPr>
            <w:r w:rsidRPr="0085185B">
              <w:rPr>
                <w:highlight w:val="red"/>
              </w:rPr>
              <w:t xml:space="preserve">Research </w:t>
            </w:r>
            <w:proofErr w:type="spellStart"/>
            <w:r w:rsidRPr="0085185B">
              <w:rPr>
                <w:highlight w:val="red"/>
              </w:rPr>
              <w:t>income</w:t>
            </w:r>
            <w:proofErr w:type="spellEnd"/>
            <w:r w:rsidRPr="0085185B">
              <w:rPr>
                <w:highlight w:val="red"/>
              </w:rPr>
              <w:t xml:space="preserve"> from </w:t>
            </w:r>
            <w:proofErr w:type="spellStart"/>
            <w:r w:rsidRPr="0085185B">
              <w:rPr>
                <w:highlight w:val="red"/>
              </w:rPr>
              <w:t>industry</w:t>
            </w:r>
            <w:proofErr w:type="spellEnd"/>
          </w:p>
        </w:tc>
        <w:tc>
          <w:tcPr>
            <w:tcW w:w="1723" w:type="dxa"/>
            <w:noWrap/>
            <w:hideMark/>
          </w:tcPr>
          <w:p w:rsidR="002A3E93" w:rsidRPr="0085185B" w:rsidRDefault="002A3E93" w:rsidP="002A3E93">
            <w:pPr>
              <w:pStyle w:val="Brdtext"/>
              <w:rPr>
                <w:highlight w:val="red"/>
              </w:rPr>
            </w:pPr>
            <w:r w:rsidRPr="0085185B">
              <w:rPr>
                <w:highlight w:val="red"/>
              </w:rPr>
              <w:t>38.4</w:t>
            </w:r>
            <w:r>
              <w:rPr>
                <w:highlight w:val="red"/>
              </w:rPr>
              <w:t>%</w:t>
            </w:r>
          </w:p>
        </w:tc>
        <w:tc>
          <w:tcPr>
            <w:tcW w:w="920" w:type="dxa"/>
            <w:noWrap/>
            <w:hideMark/>
          </w:tcPr>
          <w:p w:rsidR="002A3E93" w:rsidRPr="0085185B" w:rsidRDefault="002A3E93" w:rsidP="002A3E93">
            <w:pPr>
              <w:pStyle w:val="Brdtext"/>
              <w:rPr>
                <w:highlight w:val="red"/>
              </w:rPr>
            </w:pPr>
            <w:r w:rsidRPr="0085185B">
              <w:rPr>
                <w:highlight w:val="red"/>
              </w:rPr>
              <w:t>33.3</w:t>
            </w:r>
          </w:p>
        </w:tc>
        <w:tc>
          <w:tcPr>
            <w:tcW w:w="1871" w:type="dxa"/>
            <w:noWrap/>
          </w:tcPr>
          <w:p w:rsidR="002A3E93" w:rsidRPr="00324325" w:rsidRDefault="002A3E93" w:rsidP="002A3E93">
            <w:pPr>
              <w:pStyle w:val="Brdtext"/>
            </w:pPr>
          </w:p>
        </w:tc>
      </w:tr>
    </w:tbl>
    <w:p w:rsidR="00324325" w:rsidRDefault="00324325" w:rsidP="00324325">
      <w:pPr>
        <w:pStyle w:val="Brdtext"/>
      </w:pPr>
    </w:p>
    <w:p w:rsidR="00A95287" w:rsidRDefault="00A95287" w:rsidP="00324325">
      <w:pPr>
        <w:pStyle w:val="Brdtext"/>
      </w:pPr>
      <w:r>
        <w:t xml:space="preserve">Inom denna SDG presterar KTH mycket starkt med undantag av indikatorn forskningsintäkter från industrin. </w:t>
      </w:r>
      <w:r w:rsidR="007D0CA0">
        <w:t xml:space="preserve">KTH:s modell med mycket resurser in natura från industrin, kommer inte väl ut i detta sätt att mäta. </w:t>
      </w:r>
      <w:r w:rsidR="00917CF3">
        <w:t>Här</w:t>
      </w:r>
      <w:r w:rsidR="007D0CA0">
        <w:t xml:space="preserve"> skulle man kunna se över hur intäkter från industrin tas fram</w:t>
      </w:r>
      <w:r w:rsidR="0085185B">
        <w:t xml:space="preserve"> och redovisas</w:t>
      </w:r>
      <w:r w:rsidR="007D0CA0">
        <w:t xml:space="preserve"> i </w:t>
      </w:r>
      <w:r w:rsidR="00B745A0">
        <w:t>årsredovisningen</w:t>
      </w:r>
      <w:r w:rsidR="007D0CA0">
        <w:t>.</w:t>
      </w:r>
    </w:p>
    <w:p w:rsidR="00156524" w:rsidRDefault="00156524" w:rsidP="00324325">
      <w:pPr>
        <w:pStyle w:val="Brdtext"/>
      </w:pPr>
    </w:p>
    <w:p w:rsidR="00324325" w:rsidRPr="00285443" w:rsidRDefault="00324325" w:rsidP="000C272F">
      <w:pPr>
        <w:pStyle w:val="Rubrik3"/>
      </w:pPr>
      <w:bookmarkStart w:id="11" w:name="_Toc52351578"/>
      <w:r w:rsidRPr="00285443">
        <w:t>SDG 10</w:t>
      </w:r>
      <w:r w:rsidR="00AF18C7" w:rsidRPr="00285443">
        <w:t xml:space="preserve"> </w:t>
      </w:r>
      <w:proofErr w:type="spellStart"/>
      <w:r w:rsidR="00AF18C7" w:rsidRPr="00285443">
        <w:t>Reduced</w:t>
      </w:r>
      <w:proofErr w:type="spellEnd"/>
      <w:r w:rsidR="00AF18C7" w:rsidRPr="00285443">
        <w:t xml:space="preserve"> </w:t>
      </w:r>
      <w:proofErr w:type="spellStart"/>
      <w:r w:rsidR="00AF18C7" w:rsidRPr="00285443">
        <w:t>Inequalities</w:t>
      </w:r>
      <w:bookmarkEnd w:id="11"/>
      <w:proofErr w:type="spellEnd"/>
    </w:p>
    <w:tbl>
      <w:tblPr>
        <w:tblStyle w:val="Tabellrutnt"/>
        <w:tblW w:w="0" w:type="auto"/>
        <w:tblLook w:val="04A0" w:firstRow="1" w:lastRow="0" w:firstColumn="1" w:lastColumn="0" w:noHBand="0" w:noVBand="1"/>
      </w:tblPr>
      <w:tblGrid>
        <w:gridCol w:w="3909"/>
        <w:gridCol w:w="1723"/>
        <w:gridCol w:w="920"/>
        <w:gridCol w:w="1871"/>
      </w:tblGrid>
      <w:tr w:rsidR="002A3E93" w:rsidRPr="00324325" w:rsidTr="0007415D">
        <w:trPr>
          <w:trHeight w:val="315"/>
        </w:trPr>
        <w:tc>
          <w:tcPr>
            <w:tcW w:w="3909" w:type="dxa"/>
            <w:noWrap/>
          </w:tcPr>
          <w:p w:rsidR="002A3E93" w:rsidRPr="001311C0" w:rsidRDefault="002A3E93" w:rsidP="002A3E93">
            <w:pPr>
              <w:pStyle w:val="Brdtext"/>
              <w:rPr>
                <w:b/>
                <w:lang w:val="en-US"/>
              </w:rPr>
            </w:pPr>
            <w:proofErr w:type="spellStart"/>
            <w:r w:rsidRPr="001311C0">
              <w:rPr>
                <w:b/>
                <w:lang w:val="en-US"/>
              </w:rPr>
              <w:t>Indikator</w:t>
            </w:r>
            <w:proofErr w:type="spellEnd"/>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71"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07415D">
        <w:trPr>
          <w:trHeight w:val="315"/>
        </w:trPr>
        <w:tc>
          <w:tcPr>
            <w:tcW w:w="3909" w:type="dxa"/>
            <w:noWrap/>
            <w:hideMark/>
          </w:tcPr>
          <w:p w:rsidR="002A3E93" w:rsidRPr="001311C0" w:rsidRDefault="002A3E93" w:rsidP="002A3E93">
            <w:pPr>
              <w:pStyle w:val="Brdtext"/>
              <w:rPr>
                <w:b/>
                <w:lang w:val="en-US"/>
              </w:rPr>
            </w:pPr>
            <w:r w:rsidRPr="001311C0">
              <w:rPr>
                <w:b/>
                <w:highlight w:val="green"/>
                <w:lang w:val="en-US"/>
              </w:rPr>
              <w:t>Research on reduced inequalities</w:t>
            </w:r>
          </w:p>
          <w:p w:rsidR="002A3E93" w:rsidRPr="001311C0" w:rsidRDefault="002A3E93" w:rsidP="002A3E93">
            <w:pPr>
              <w:pStyle w:val="Brdtext"/>
              <w:rPr>
                <w:highlight w:val="green"/>
                <w:lang w:val="en-US"/>
              </w:rPr>
            </w:pPr>
            <w:r w:rsidRPr="001311C0">
              <w:rPr>
                <w:highlight w:val="green"/>
                <w:lang w:val="en-US"/>
              </w:rPr>
              <w:t xml:space="preserve">Proportion of papers in the top 10 per cent of journals as defined by </w:t>
            </w:r>
            <w:proofErr w:type="spellStart"/>
            <w:r w:rsidRPr="001311C0">
              <w:rPr>
                <w:highlight w:val="green"/>
                <w:lang w:val="en-US"/>
              </w:rPr>
              <w:t>Citescore</w:t>
            </w:r>
            <w:proofErr w:type="spellEnd"/>
            <w:r w:rsidRPr="001311C0">
              <w:rPr>
                <w:highlight w:val="green"/>
                <w:lang w:val="en-US"/>
              </w:rPr>
              <w:t xml:space="preserve"> (10%)</w:t>
            </w:r>
          </w:p>
          <w:p w:rsidR="002A3E93" w:rsidRPr="001311C0" w:rsidRDefault="002A3E93" w:rsidP="002A3E93">
            <w:pPr>
              <w:pStyle w:val="Brdtext"/>
              <w:rPr>
                <w:highlight w:val="green"/>
                <w:lang w:val="en-US"/>
              </w:rPr>
            </w:pPr>
            <w:r w:rsidRPr="001311C0">
              <w:rPr>
                <w:highlight w:val="green"/>
                <w:lang w:val="en-US"/>
              </w:rPr>
              <w:t>Field-weighted citation index of papers produced by the university (10%)</w:t>
            </w:r>
          </w:p>
          <w:p w:rsidR="002A3E93" w:rsidRPr="001311C0" w:rsidRDefault="002A3E93" w:rsidP="002A3E93">
            <w:pPr>
              <w:pStyle w:val="Brdtext"/>
              <w:rPr>
                <w:highlight w:val="green"/>
              </w:rPr>
            </w:pPr>
            <w:proofErr w:type="spellStart"/>
            <w:r w:rsidRPr="001311C0">
              <w:rPr>
                <w:highlight w:val="green"/>
              </w:rPr>
              <w:t>Number</w:t>
            </w:r>
            <w:proofErr w:type="spellEnd"/>
            <w:r w:rsidRPr="001311C0">
              <w:rPr>
                <w:highlight w:val="green"/>
              </w:rPr>
              <w:t xml:space="preserve"> of </w:t>
            </w:r>
            <w:proofErr w:type="spellStart"/>
            <w:r w:rsidRPr="001311C0">
              <w:rPr>
                <w:highlight w:val="green"/>
              </w:rPr>
              <w:t>publications</w:t>
            </w:r>
            <w:proofErr w:type="spellEnd"/>
            <w:r w:rsidRPr="001311C0">
              <w:rPr>
                <w:highlight w:val="green"/>
              </w:rPr>
              <w:t xml:space="preserve"> (7%)</w:t>
            </w:r>
          </w:p>
        </w:tc>
        <w:tc>
          <w:tcPr>
            <w:tcW w:w="1723" w:type="dxa"/>
            <w:noWrap/>
            <w:hideMark/>
          </w:tcPr>
          <w:p w:rsidR="002A3E93" w:rsidRPr="007841A3" w:rsidRDefault="002A3E93" w:rsidP="002A3E93">
            <w:pPr>
              <w:pStyle w:val="Brdtext"/>
              <w:rPr>
                <w:b/>
                <w:highlight w:val="green"/>
              </w:rPr>
            </w:pPr>
            <w:r w:rsidRPr="007841A3">
              <w:rPr>
                <w:b/>
                <w:highlight w:val="green"/>
              </w:rPr>
              <w:t>27%</w:t>
            </w:r>
          </w:p>
        </w:tc>
        <w:tc>
          <w:tcPr>
            <w:tcW w:w="920" w:type="dxa"/>
            <w:noWrap/>
            <w:hideMark/>
          </w:tcPr>
          <w:p w:rsidR="002A3E93" w:rsidRDefault="002A3E93" w:rsidP="002A3E93">
            <w:pPr>
              <w:pStyle w:val="Brdtext"/>
              <w:rPr>
                <w:b/>
                <w:highlight w:val="green"/>
              </w:rPr>
            </w:pPr>
            <w:r w:rsidRPr="007841A3">
              <w:rPr>
                <w:b/>
                <w:highlight w:val="green"/>
              </w:rPr>
              <w:t>88.1</w:t>
            </w:r>
          </w:p>
          <w:p w:rsidR="00F525E0" w:rsidRPr="00F525E0" w:rsidRDefault="00F525E0" w:rsidP="002A3E93">
            <w:pPr>
              <w:pStyle w:val="Brdtext"/>
              <w:rPr>
                <w:b/>
                <w:highlight w:val="green"/>
              </w:rPr>
            </w:pPr>
          </w:p>
          <w:p w:rsidR="002A3E93" w:rsidRPr="00AF04BE" w:rsidRDefault="002A3E93" w:rsidP="002A3E93">
            <w:pPr>
              <w:pStyle w:val="Brdtext"/>
              <w:rPr>
                <w:highlight w:val="green"/>
              </w:rPr>
            </w:pPr>
            <w:r w:rsidRPr="00AF04BE">
              <w:rPr>
                <w:highlight w:val="green"/>
              </w:rPr>
              <w:t>88.3</w:t>
            </w:r>
          </w:p>
          <w:p w:rsidR="002A3E93" w:rsidRPr="00AF04BE" w:rsidRDefault="002A3E93" w:rsidP="002A3E93">
            <w:pPr>
              <w:pStyle w:val="Brdtext"/>
              <w:rPr>
                <w:highlight w:val="green"/>
              </w:rPr>
            </w:pPr>
          </w:p>
          <w:p w:rsidR="002A3E93" w:rsidRPr="00AF04BE" w:rsidRDefault="002A3E93" w:rsidP="002A3E93">
            <w:pPr>
              <w:pStyle w:val="Brdtext"/>
              <w:rPr>
                <w:highlight w:val="green"/>
              </w:rPr>
            </w:pPr>
            <w:r w:rsidRPr="00AF04BE">
              <w:rPr>
                <w:highlight w:val="green"/>
              </w:rPr>
              <w:t>91.4</w:t>
            </w:r>
          </w:p>
          <w:p w:rsidR="00F525E0" w:rsidRDefault="00F525E0" w:rsidP="002A3E93">
            <w:pPr>
              <w:pStyle w:val="Brdtext"/>
              <w:rPr>
                <w:highlight w:val="green"/>
              </w:rPr>
            </w:pPr>
          </w:p>
          <w:p w:rsidR="002A3E93" w:rsidRPr="008726EC" w:rsidRDefault="002A3E93" w:rsidP="002A3E93">
            <w:pPr>
              <w:pStyle w:val="Brdtext"/>
              <w:rPr>
                <w:highlight w:val="green"/>
              </w:rPr>
            </w:pPr>
            <w:r w:rsidRPr="00AF04BE">
              <w:rPr>
                <w:highlight w:val="green"/>
              </w:rPr>
              <w:t>83.2</w:t>
            </w:r>
          </w:p>
        </w:tc>
        <w:tc>
          <w:tcPr>
            <w:tcW w:w="1871" w:type="dxa"/>
            <w:noWrap/>
            <w:hideMark/>
          </w:tcPr>
          <w:p w:rsidR="002A3E93" w:rsidRPr="007841A3" w:rsidRDefault="002A3E93" w:rsidP="002A3E93">
            <w:pPr>
              <w:pStyle w:val="Brdtext"/>
              <w:rPr>
                <w:b/>
              </w:rPr>
            </w:pPr>
            <w:r w:rsidRPr="007841A3">
              <w:rPr>
                <w:b/>
              </w:rPr>
              <w:t>201–300</w:t>
            </w:r>
          </w:p>
        </w:tc>
      </w:tr>
      <w:tr w:rsidR="002A3E93" w:rsidRPr="00324325" w:rsidTr="0007415D">
        <w:trPr>
          <w:trHeight w:val="315"/>
        </w:trPr>
        <w:tc>
          <w:tcPr>
            <w:tcW w:w="3909" w:type="dxa"/>
            <w:noWrap/>
            <w:hideMark/>
          </w:tcPr>
          <w:p w:rsidR="002A3E93" w:rsidRPr="001311C0" w:rsidRDefault="002A3E93" w:rsidP="002A3E93">
            <w:pPr>
              <w:pStyle w:val="Brdtext"/>
              <w:rPr>
                <w:b/>
                <w:highlight w:val="red"/>
              </w:rPr>
            </w:pPr>
            <w:proofErr w:type="spellStart"/>
            <w:r w:rsidRPr="001311C0">
              <w:rPr>
                <w:b/>
                <w:highlight w:val="red"/>
              </w:rPr>
              <w:lastRenderedPageBreak/>
              <w:t>First</w:t>
            </w:r>
            <w:proofErr w:type="spellEnd"/>
            <w:r w:rsidRPr="001311C0">
              <w:rPr>
                <w:b/>
                <w:highlight w:val="red"/>
              </w:rPr>
              <w:t>-generation students</w:t>
            </w:r>
          </w:p>
        </w:tc>
        <w:tc>
          <w:tcPr>
            <w:tcW w:w="1723" w:type="dxa"/>
            <w:noWrap/>
            <w:hideMark/>
          </w:tcPr>
          <w:p w:rsidR="002A3E93" w:rsidRPr="00F525E0" w:rsidRDefault="002A3E93" w:rsidP="002A3E93">
            <w:pPr>
              <w:pStyle w:val="Brdtext"/>
              <w:rPr>
                <w:b/>
                <w:highlight w:val="red"/>
              </w:rPr>
            </w:pPr>
            <w:r w:rsidRPr="00F525E0">
              <w:rPr>
                <w:b/>
                <w:highlight w:val="red"/>
              </w:rPr>
              <w:t>15.5%</w:t>
            </w:r>
          </w:p>
        </w:tc>
        <w:tc>
          <w:tcPr>
            <w:tcW w:w="920" w:type="dxa"/>
            <w:noWrap/>
            <w:hideMark/>
          </w:tcPr>
          <w:p w:rsidR="002A3E93" w:rsidRPr="00F525E0" w:rsidRDefault="002A3E93" w:rsidP="002A3E93">
            <w:pPr>
              <w:pStyle w:val="Brdtext"/>
              <w:rPr>
                <w:b/>
                <w:highlight w:val="red"/>
              </w:rPr>
            </w:pPr>
            <w:r w:rsidRPr="00F525E0">
              <w:rPr>
                <w:b/>
                <w:highlight w:val="red"/>
              </w:rPr>
              <w:t>23.7</w:t>
            </w:r>
          </w:p>
        </w:tc>
        <w:tc>
          <w:tcPr>
            <w:tcW w:w="1871" w:type="dxa"/>
            <w:noWrap/>
          </w:tcPr>
          <w:p w:rsidR="002A3E93" w:rsidRPr="00324325" w:rsidRDefault="002A3E93" w:rsidP="002A3E93">
            <w:pPr>
              <w:pStyle w:val="Brdtext"/>
            </w:pPr>
          </w:p>
        </w:tc>
      </w:tr>
      <w:tr w:rsidR="002A3E93" w:rsidRPr="00324325" w:rsidTr="0007415D">
        <w:trPr>
          <w:trHeight w:val="315"/>
        </w:trPr>
        <w:tc>
          <w:tcPr>
            <w:tcW w:w="3909" w:type="dxa"/>
            <w:noWrap/>
            <w:hideMark/>
          </w:tcPr>
          <w:p w:rsidR="002A3E93" w:rsidRPr="001311C0" w:rsidRDefault="002A3E93" w:rsidP="002A3E93">
            <w:pPr>
              <w:pStyle w:val="Brdtext"/>
              <w:rPr>
                <w:b/>
                <w:highlight w:val="red"/>
              </w:rPr>
            </w:pPr>
            <w:r w:rsidRPr="001311C0">
              <w:rPr>
                <w:b/>
                <w:highlight w:val="red"/>
              </w:rPr>
              <w:t xml:space="preserve">Students </w:t>
            </w:r>
            <w:proofErr w:type="gramStart"/>
            <w:r w:rsidRPr="001311C0">
              <w:rPr>
                <w:b/>
                <w:highlight w:val="red"/>
              </w:rPr>
              <w:t>from</w:t>
            </w:r>
            <w:proofErr w:type="gramEnd"/>
            <w:r w:rsidRPr="001311C0">
              <w:rPr>
                <w:b/>
                <w:highlight w:val="red"/>
              </w:rPr>
              <w:t xml:space="preserve"> </w:t>
            </w:r>
            <w:proofErr w:type="spellStart"/>
            <w:r w:rsidRPr="001311C0">
              <w:rPr>
                <w:b/>
                <w:highlight w:val="red"/>
              </w:rPr>
              <w:t>developing</w:t>
            </w:r>
            <w:proofErr w:type="spellEnd"/>
            <w:r w:rsidRPr="001311C0">
              <w:rPr>
                <w:b/>
                <w:highlight w:val="red"/>
              </w:rPr>
              <w:t xml:space="preserve"> </w:t>
            </w:r>
            <w:proofErr w:type="spellStart"/>
            <w:r w:rsidRPr="001311C0">
              <w:rPr>
                <w:b/>
                <w:highlight w:val="red"/>
              </w:rPr>
              <w:t>countries</w:t>
            </w:r>
            <w:proofErr w:type="spellEnd"/>
            <w:r w:rsidRPr="001311C0">
              <w:rPr>
                <w:b/>
                <w:highlight w:val="red"/>
              </w:rPr>
              <w:t xml:space="preserve"> </w:t>
            </w:r>
          </w:p>
        </w:tc>
        <w:tc>
          <w:tcPr>
            <w:tcW w:w="1723" w:type="dxa"/>
            <w:noWrap/>
            <w:hideMark/>
          </w:tcPr>
          <w:p w:rsidR="002A3E93" w:rsidRPr="00F525E0" w:rsidRDefault="002A3E93" w:rsidP="002A3E93">
            <w:pPr>
              <w:pStyle w:val="Brdtext"/>
              <w:rPr>
                <w:b/>
                <w:highlight w:val="red"/>
              </w:rPr>
            </w:pPr>
            <w:r w:rsidRPr="00F525E0">
              <w:rPr>
                <w:b/>
                <w:highlight w:val="red"/>
              </w:rPr>
              <w:t>15.5%</w:t>
            </w:r>
          </w:p>
        </w:tc>
        <w:tc>
          <w:tcPr>
            <w:tcW w:w="920" w:type="dxa"/>
            <w:noWrap/>
            <w:hideMark/>
          </w:tcPr>
          <w:p w:rsidR="002A3E93" w:rsidRPr="00F525E0" w:rsidRDefault="002A3E93" w:rsidP="002A3E93">
            <w:pPr>
              <w:pStyle w:val="Brdtext"/>
              <w:rPr>
                <w:b/>
                <w:highlight w:val="red"/>
              </w:rPr>
            </w:pPr>
            <w:r w:rsidRPr="00F525E0">
              <w:rPr>
                <w:b/>
                <w:highlight w:val="red"/>
              </w:rPr>
              <w:t>9.6</w:t>
            </w:r>
          </w:p>
        </w:tc>
        <w:tc>
          <w:tcPr>
            <w:tcW w:w="1871" w:type="dxa"/>
            <w:noWrap/>
          </w:tcPr>
          <w:p w:rsidR="002A3E93" w:rsidRPr="00324325" w:rsidRDefault="002A3E93" w:rsidP="002A3E93">
            <w:pPr>
              <w:pStyle w:val="Brdtext"/>
            </w:pPr>
          </w:p>
        </w:tc>
      </w:tr>
      <w:tr w:rsidR="002A3E93" w:rsidRPr="00324325" w:rsidTr="0007415D">
        <w:trPr>
          <w:trHeight w:val="315"/>
        </w:trPr>
        <w:tc>
          <w:tcPr>
            <w:tcW w:w="3909" w:type="dxa"/>
            <w:noWrap/>
            <w:hideMark/>
          </w:tcPr>
          <w:p w:rsidR="002A3E93" w:rsidRPr="004D0FF6" w:rsidRDefault="002A3E93" w:rsidP="002A3E93">
            <w:pPr>
              <w:pStyle w:val="Brdtext"/>
              <w:rPr>
                <w:b/>
                <w:highlight w:val="green"/>
                <w:lang w:val="en-US"/>
              </w:rPr>
            </w:pPr>
            <w:r w:rsidRPr="004D0FF6">
              <w:rPr>
                <w:b/>
                <w:highlight w:val="green"/>
                <w:lang w:val="en-US"/>
              </w:rPr>
              <w:t xml:space="preserve">Percent of students with disabilities </w:t>
            </w:r>
          </w:p>
        </w:tc>
        <w:tc>
          <w:tcPr>
            <w:tcW w:w="1723" w:type="dxa"/>
            <w:noWrap/>
            <w:hideMark/>
          </w:tcPr>
          <w:p w:rsidR="002A3E93" w:rsidRPr="007841A3" w:rsidRDefault="002A3E93" w:rsidP="002A3E93">
            <w:pPr>
              <w:pStyle w:val="Brdtext"/>
              <w:rPr>
                <w:b/>
                <w:highlight w:val="green"/>
              </w:rPr>
            </w:pPr>
            <w:r w:rsidRPr="007841A3">
              <w:rPr>
                <w:b/>
                <w:highlight w:val="green"/>
              </w:rPr>
              <w:t>11.5%</w:t>
            </w:r>
          </w:p>
        </w:tc>
        <w:tc>
          <w:tcPr>
            <w:tcW w:w="920" w:type="dxa"/>
            <w:noWrap/>
            <w:hideMark/>
          </w:tcPr>
          <w:p w:rsidR="002A3E93" w:rsidRPr="007841A3" w:rsidRDefault="002A3E93" w:rsidP="002A3E93">
            <w:pPr>
              <w:pStyle w:val="Brdtext"/>
              <w:rPr>
                <w:b/>
                <w:highlight w:val="green"/>
              </w:rPr>
            </w:pPr>
            <w:r w:rsidRPr="007841A3">
              <w:rPr>
                <w:b/>
                <w:highlight w:val="green"/>
              </w:rPr>
              <w:t>100</w:t>
            </w:r>
          </w:p>
        </w:tc>
        <w:tc>
          <w:tcPr>
            <w:tcW w:w="1871" w:type="dxa"/>
            <w:noWrap/>
          </w:tcPr>
          <w:p w:rsidR="002A3E93" w:rsidRPr="00324325" w:rsidRDefault="002A3E93" w:rsidP="002A3E93">
            <w:pPr>
              <w:pStyle w:val="Brdtext"/>
            </w:pPr>
          </w:p>
        </w:tc>
      </w:tr>
      <w:tr w:rsidR="002A3E93" w:rsidRPr="00324325" w:rsidTr="0007415D">
        <w:trPr>
          <w:trHeight w:val="315"/>
        </w:trPr>
        <w:tc>
          <w:tcPr>
            <w:tcW w:w="3909" w:type="dxa"/>
            <w:noWrap/>
            <w:hideMark/>
          </w:tcPr>
          <w:p w:rsidR="002A3E93" w:rsidRPr="004D0FF6" w:rsidRDefault="002A3E93" w:rsidP="002A3E93">
            <w:pPr>
              <w:pStyle w:val="Brdtext"/>
              <w:rPr>
                <w:b/>
                <w:highlight w:val="red"/>
                <w:lang w:val="en-US"/>
              </w:rPr>
            </w:pPr>
            <w:r w:rsidRPr="004D0FF6">
              <w:rPr>
                <w:b/>
                <w:highlight w:val="red"/>
                <w:lang w:val="en-US"/>
              </w:rPr>
              <w:t xml:space="preserve">Percent of staff with disabilities </w:t>
            </w:r>
          </w:p>
        </w:tc>
        <w:tc>
          <w:tcPr>
            <w:tcW w:w="1723" w:type="dxa"/>
            <w:noWrap/>
            <w:hideMark/>
          </w:tcPr>
          <w:p w:rsidR="002A3E93" w:rsidRPr="007841A3" w:rsidRDefault="002A3E93" w:rsidP="002A3E93">
            <w:pPr>
              <w:pStyle w:val="Brdtext"/>
              <w:rPr>
                <w:b/>
                <w:highlight w:val="red"/>
              </w:rPr>
            </w:pPr>
            <w:r w:rsidRPr="007841A3">
              <w:rPr>
                <w:b/>
                <w:highlight w:val="red"/>
              </w:rPr>
              <w:t>11.5%</w:t>
            </w:r>
          </w:p>
        </w:tc>
        <w:tc>
          <w:tcPr>
            <w:tcW w:w="920" w:type="dxa"/>
            <w:noWrap/>
            <w:hideMark/>
          </w:tcPr>
          <w:p w:rsidR="002A3E93" w:rsidRPr="007841A3" w:rsidRDefault="002A3E93" w:rsidP="002A3E93">
            <w:pPr>
              <w:pStyle w:val="Brdtext"/>
              <w:rPr>
                <w:b/>
                <w:highlight w:val="red"/>
              </w:rPr>
            </w:pPr>
            <w:r w:rsidRPr="007841A3">
              <w:rPr>
                <w:b/>
                <w:highlight w:val="red"/>
              </w:rPr>
              <w:t>0</w:t>
            </w:r>
          </w:p>
        </w:tc>
        <w:tc>
          <w:tcPr>
            <w:tcW w:w="1871" w:type="dxa"/>
            <w:noWrap/>
          </w:tcPr>
          <w:p w:rsidR="002A3E93" w:rsidRPr="00324325" w:rsidRDefault="002A3E93" w:rsidP="002A3E93">
            <w:pPr>
              <w:pStyle w:val="Brdtext"/>
            </w:pPr>
          </w:p>
        </w:tc>
      </w:tr>
      <w:tr w:rsidR="002A3E93" w:rsidRPr="00DF06E2" w:rsidTr="0007415D">
        <w:trPr>
          <w:trHeight w:val="315"/>
        </w:trPr>
        <w:tc>
          <w:tcPr>
            <w:tcW w:w="3909" w:type="dxa"/>
            <w:noWrap/>
            <w:hideMark/>
          </w:tcPr>
          <w:p w:rsidR="002A3E93" w:rsidRPr="004D0FF6" w:rsidRDefault="002A3E93" w:rsidP="002A3E93">
            <w:pPr>
              <w:pStyle w:val="Brdtext"/>
              <w:rPr>
                <w:b/>
                <w:lang w:val="en-US"/>
              </w:rPr>
            </w:pPr>
            <w:r w:rsidRPr="004D0FF6">
              <w:rPr>
                <w:b/>
                <w:highlight w:val="yellow"/>
                <w:lang w:val="en-US"/>
              </w:rPr>
              <w:t>Measures against discrimination</w:t>
            </w:r>
          </w:p>
          <w:p w:rsidR="002A3E93" w:rsidRPr="0003172E" w:rsidRDefault="002A3E93" w:rsidP="002A3E93">
            <w:pPr>
              <w:pStyle w:val="Brdtext"/>
              <w:rPr>
                <w:highlight w:val="red"/>
                <w:lang w:val="en-US"/>
              </w:rPr>
            </w:pPr>
            <w:r w:rsidRPr="0003172E">
              <w:rPr>
                <w:highlight w:val="red"/>
                <w:lang w:val="en-US"/>
              </w:rPr>
              <w:t>Non-discriminatory admissions policy (1.9%)</w:t>
            </w:r>
          </w:p>
          <w:p w:rsidR="002A3E93" w:rsidRPr="0003172E" w:rsidRDefault="002A3E93" w:rsidP="002A3E93">
            <w:pPr>
              <w:pStyle w:val="Brdtext"/>
              <w:rPr>
                <w:highlight w:val="red"/>
                <w:lang w:val="en-US"/>
              </w:rPr>
            </w:pPr>
            <w:r w:rsidRPr="0003172E">
              <w:rPr>
                <w:highlight w:val="red"/>
                <w:lang w:val="en-US"/>
              </w:rPr>
              <w:t>Track application and admission rates of under-represented groups (1.9%)</w:t>
            </w:r>
          </w:p>
          <w:p w:rsidR="002A3E93" w:rsidRPr="0003172E" w:rsidRDefault="002A3E93" w:rsidP="002A3E93">
            <w:pPr>
              <w:pStyle w:val="Brdtext"/>
              <w:rPr>
                <w:highlight w:val="red"/>
                <w:lang w:val="en-US"/>
              </w:rPr>
            </w:pPr>
            <w:proofErr w:type="spellStart"/>
            <w:r w:rsidRPr="0003172E">
              <w:rPr>
                <w:highlight w:val="red"/>
                <w:lang w:val="en-US"/>
              </w:rPr>
              <w:t>Programmes</w:t>
            </w:r>
            <w:proofErr w:type="spellEnd"/>
            <w:r w:rsidRPr="0003172E">
              <w:rPr>
                <w:highlight w:val="red"/>
                <w:lang w:val="en-US"/>
              </w:rPr>
              <w:t xml:space="preserve"> to recruit students and staff from under-represented groups (1.9%)</w:t>
            </w:r>
          </w:p>
          <w:p w:rsidR="00F525E0" w:rsidRPr="004D0FF6" w:rsidRDefault="00F525E0" w:rsidP="002A3E93">
            <w:pPr>
              <w:pStyle w:val="Brdtext"/>
              <w:rPr>
                <w:highlight w:val="yellow"/>
                <w:lang w:val="en-US"/>
              </w:rPr>
            </w:pPr>
          </w:p>
          <w:p w:rsidR="002A3E93" w:rsidRPr="0003172E" w:rsidRDefault="002A3E93" w:rsidP="002A3E93">
            <w:pPr>
              <w:pStyle w:val="Brdtext"/>
              <w:rPr>
                <w:highlight w:val="green"/>
                <w:lang w:val="en-US"/>
              </w:rPr>
            </w:pPr>
            <w:r w:rsidRPr="0003172E">
              <w:rPr>
                <w:highlight w:val="green"/>
                <w:lang w:val="en-US"/>
              </w:rPr>
              <w:t>Anti-discrimination and anti-harassment policies for staff and students (1.9%)</w:t>
            </w:r>
          </w:p>
          <w:p w:rsidR="002A3E93" w:rsidRPr="0003172E" w:rsidRDefault="002A3E93" w:rsidP="002A3E93">
            <w:pPr>
              <w:pStyle w:val="Brdtext"/>
              <w:rPr>
                <w:highlight w:val="green"/>
                <w:lang w:val="en-US"/>
              </w:rPr>
            </w:pPr>
            <w:r w:rsidRPr="0003172E">
              <w:rPr>
                <w:highlight w:val="green"/>
                <w:lang w:val="en-US"/>
              </w:rPr>
              <w:t>Existence of a diversity and equality committee, office or officer (1.9%)</w:t>
            </w:r>
          </w:p>
          <w:p w:rsidR="002A3E93" w:rsidRPr="0003172E" w:rsidRDefault="002A3E93" w:rsidP="002A3E93">
            <w:pPr>
              <w:pStyle w:val="Brdtext"/>
              <w:rPr>
                <w:highlight w:val="red"/>
                <w:lang w:val="en-US"/>
              </w:rPr>
            </w:pPr>
            <w:r w:rsidRPr="0003172E">
              <w:rPr>
                <w:highlight w:val="red"/>
                <w:lang w:val="en-US"/>
              </w:rPr>
              <w:t xml:space="preserve">Mentoring, counselling or peer support </w:t>
            </w:r>
            <w:proofErr w:type="spellStart"/>
            <w:r w:rsidRPr="0003172E">
              <w:rPr>
                <w:highlight w:val="red"/>
                <w:lang w:val="en-US"/>
              </w:rPr>
              <w:t>programmes</w:t>
            </w:r>
            <w:proofErr w:type="spellEnd"/>
            <w:r w:rsidRPr="0003172E">
              <w:rPr>
                <w:highlight w:val="red"/>
                <w:lang w:val="en-US"/>
              </w:rPr>
              <w:t xml:space="preserve"> aimed at students and staff from under-represented groups (1.9%)</w:t>
            </w:r>
          </w:p>
          <w:p w:rsidR="002A3E93" w:rsidRPr="0003172E" w:rsidRDefault="002A3E93" w:rsidP="002A3E93">
            <w:pPr>
              <w:pStyle w:val="Brdtext"/>
              <w:rPr>
                <w:highlight w:val="red"/>
                <w:lang w:val="en-US"/>
              </w:rPr>
            </w:pPr>
            <w:r w:rsidRPr="0003172E">
              <w:rPr>
                <w:highlight w:val="red"/>
                <w:lang w:val="en-US"/>
              </w:rPr>
              <w:t>Accessible facilities for people with disabilities (1.9%)</w:t>
            </w:r>
          </w:p>
          <w:p w:rsidR="002A3E93" w:rsidRPr="0003172E" w:rsidRDefault="002A3E93" w:rsidP="002A3E93">
            <w:pPr>
              <w:pStyle w:val="Brdtext"/>
              <w:rPr>
                <w:highlight w:val="red"/>
                <w:lang w:val="en-US"/>
              </w:rPr>
            </w:pPr>
            <w:r w:rsidRPr="0003172E">
              <w:rPr>
                <w:highlight w:val="red"/>
                <w:lang w:val="en-US"/>
              </w:rPr>
              <w:t>Support services for people with disabilities (1.9%)</w:t>
            </w:r>
          </w:p>
          <w:p w:rsidR="002A3E93" w:rsidRPr="0003172E" w:rsidRDefault="002A3E93" w:rsidP="002A3E93">
            <w:pPr>
              <w:pStyle w:val="Brdtext"/>
              <w:rPr>
                <w:highlight w:val="red"/>
                <w:lang w:val="en-US"/>
              </w:rPr>
            </w:pPr>
            <w:r w:rsidRPr="0003172E">
              <w:rPr>
                <w:highlight w:val="red"/>
                <w:lang w:val="en-US"/>
              </w:rPr>
              <w:t>Access schemes for people with disabilities (1.9%)</w:t>
            </w:r>
          </w:p>
          <w:p w:rsidR="00F525E0" w:rsidRPr="0003172E" w:rsidRDefault="00F525E0" w:rsidP="002A3E93">
            <w:pPr>
              <w:pStyle w:val="Brdtext"/>
              <w:rPr>
                <w:highlight w:val="red"/>
                <w:lang w:val="en-US"/>
              </w:rPr>
            </w:pPr>
          </w:p>
          <w:p w:rsidR="002A3E93" w:rsidRPr="004D0FF6" w:rsidRDefault="002A3E93" w:rsidP="002A3E93">
            <w:pPr>
              <w:pStyle w:val="Brdtext"/>
              <w:rPr>
                <w:highlight w:val="yellow"/>
                <w:lang w:val="en-US"/>
              </w:rPr>
            </w:pPr>
            <w:r w:rsidRPr="0003172E">
              <w:rPr>
                <w:highlight w:val="red"/>
                <w:lang w:val="en-US"/>
              </w:rPr>
              <w:t>Accommodation policy or strategy for people with disabilities, including adequate funding (1.9%)</w:t>
            </w:r>
          </w:p>
        </w:tc>
        <w:tc>
          <w:tcPr>
            <w:tcW w:w="1723" w:type="dxa"/>
            <w:noWrap/>
            <w:hideMark/>
          </w:tcPr>
          <w:p w:rsidR="002A3E93" w:rsidRPr="007841A3" w:rsidRDefault="002A3E93" w:rsidP="002A3E93">
            <w:pPr>
              <w:pStyle w:val="Brdtext"/>
              <w:rPr>
                <w:b/>
                <w:highlight w:val="yellow"/>
              </w:rPr>
            </w:pPr>
            <w:r w:rsidRPr="007841A3">
              <w:rPr>
                <w:b/>
                <w:highlight w:val="yellow"/>
              </w:rPr>
              <w:t>19%</w:t>
            </w:r>
          </w:p>
        </w:tc>
        <w:tc>
          <w:tcPr>
            <w:tcW w:w="920" w:type="dxa"/>
            <w:noWrap/>
            <w:hideMark/>
          </w:tcPr>
          <w:p w:rsidR="002A3E93" w:rsidRPr="00F525E0" w:rsidRDefault="002A3E93" w:rsidP="002A3E93">
            <w:pPr>
              <w:pStyle w:val="Brdtext"/>
              <w:rPr>
                <w:b/>
                <w:highlight w:val="yellow"/>
              </w:rPr>
            </w:pPr>
            <w:r w:rsidRPr="007841A3">
              <w:rPr>
                <w:b/>
                <w:highlight w:val="yellow"/>
              </w:rPr>
              <w:t>43.3</w:t>
            </w:r>
          </w:p>
          <w:p w:rsidR="002A3E93" w:rsidRPr="00F525E0" w:rsidRDefault="002A3E93" w:rsidP="002A3E93">
            <w:pPr>
              <w:pStyle w:val="Brdtext"/>
              <w:rPr>
                <w:highlight w:val="red"/>
              </w:rPr>
            </w:pPr>
            <w:r w:rsidRPr="00F525E0">
              <w:rPr>
                <w:highlight w:val="red"/>
              </w:rPr>
              <w:t>N/A</w:t>
            </w:r>
          </w:p>
          <w:p w:rsidR="00F525E0" w:rsidRPr="00F525E0" w:rsidRDefault="00F525E0" w:rsidP="002A3E93">
            <w:pPr>
              <w:pStyle w:val="Brdtext"/>
              <w:rPr>
                <w:highlight w:val="red"/>
              </w:rPr>
            </w:pPr>
          </w:p>
          <w:p w:rsidR="002A3E93" w:rsidRPr="00F525E0" w:rsidRDefault="002A3E93" w:rsidP="002A3E93">
            <w:pPr>
              <w:pStyle w:val="Brdtext"/>
              <w:rPr>
                <w:highlight w:val="red"/>
              </w:rPr>
            </w:pPr>
            <w:r w:rsidRPr="00F525E0">
              <w:rPr>
                <w:highlight w:val="red"/>
              </w:rPr>
              <w:t>33.3</w:t>
            </w:r>
          </w:p>
          <w:p w:rsidR="002A3E93" w:rsidRPr="00F525E0" w:rsidRDefault="002A3E93" w:rsidP="002A3E93">
            <w:pPr>
              <w:pStyle w:val="Brdtext"/>
              <w:rPr>
                <w:highlight w:val="red"/>
              </w:rPr>
            </w:pPr>
          </w:p>
          <w:p w:rsidR="002A3E93" w:rsidRPr="00737175" w:rsidRDefault="002A3E93" w:rsidP="002A3E93">
            <w:pPr>
              <w:pStyle w:val="Brdtext"/>
            </w:pPr>
            <w:r w:rsidRPr="00F525E0">
              <w:rPr>
                <w:highlight w:val="red"/>
              </w:rPr>
              <w:t>33.3</w:t>
            </w:r>
          </w:p>
          <w:p w:rsidR="002A3E93" w:rsidRDefault="002A3E93" w:rsidP="002A3E93">
            <w:pPr>
              <w:pStyle w:val="Brdtext"/>
              <w:rPr>
                <w:highlight w:val="yellow"/>
              </w:rPr>
            </w:pPr>
          </w:p>
          <w:p w:rsidR="002A3E93" w:rsidRDefault="002A3E93" w:rsidP="002A3E93">
            <w:pPr>
              <w:pStyle w:val="Brdtext"/>
              <w:rPr>
                <w:highlight w:val="yellow"/>
              </w:rPr>
            </w:pP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Default="002A3E93" w:rsidP="002A3E93">
            <w:pPr>
              <w:pStyle w:val="Brdtext"/>
            </w:pPr>
            <w:r w:rsidRPr="00AF04BE">
              <w:rPr>
                <w:highlight w:val="green"/>
              </w:rPr>
              <w:t>100</w:t>
            </w:r>
          </w:p>
          <w:p w:rsidR="002A3E93" w:rsidRPr="00737175" w:rsidRDefault="002A3E93" w:rsidP="002A3E93">
            <w:pPr>
              <w:pStyle w:val="Brdtext"/>
            </w:pPr>
          </w:p>
          <w:p w:rsidR="002A3E93" w:rsidRPr="00F525E0" w:rsidRDefault="002A3E93" w:rsidP="002A3E93">
            <w:pPr>
              <w:pStyle w:val="Brdtext"/>
              <w:rPr>
                <w:highlight w:val="red"/>
              </w:rPr>
            </w:pPr>
            <w:r w:rsidRPr="00F525E0">
              <w:rPr>
                <w:highlight w:val="red"/>
              </w:rPr>
              <w:t>33.3</w:t>
            </w:r>
          </w:p>
          <w:p w:rsidR="002A3E93" w:rsidRPr="00F525E0" w:rsidRDefault="002A3E93" w:rsidP="002A3E93">
            <w:pPr>
              <w:pStyle w:val="Brdtext"/>
              <w:rPr>
                <w:highlight w:val="red"/>
              </w:rPr>
            </w:pPr>
          </w:p>
          <w:p w:rsidR="002A3E93" w:rsidRPr="00F525E0" w:rsidRDefault="002A3E93" w:rsidP="002A3E93">
            <w:pPr>
              <w:pStyle w:val="Brdtext"/>
              <w:rPr>
                <w:highlight w:val="red"/>
              </w:rPr>
            </w:pPr>
            <w:r w:rsidRPr="00F525E0">
              <w:rPr>
                <w:highlight w:val="red"/>
              </w:rPr>
              <w:t>33.3</w:t>
            </w:r>
          </w:p>
          <w:p w:rsidR="002A3E93" w:rsidRPr="00F525E0" w:rsidRDefault="002A3E93" w:rsidP="002A3E93">
            <w:pPr>
              <w:pStyle w:val="Brdtext"/>
              <w:rPr>
                <w:highlight w:val="red"/>
              </w:rPr>
            </w:pPr>
          </w:p>
          <w:p w:rsidR="002A3E93" w:rsidRPr="00F525E0" w:rsidRDefault="002A3E93" w:rsidP="002A3E93">
            <w:pPr>
              <w:pStyle w:val="Brdtext"/>
              <w:rPr>
                <w:highlight w:val="red"/>
              </w:rPr>
            </w:pPr>
            <w:r w:rsidRPr="00F525E0">
              <w:rPr>
                <w:highlight w:val="red"/>
              </w:rPr>
              <w:t>33.3</w:t>
            </w:r>
          </w:p>
          <w:p w:rsidR="00F525E0" w:rsidRPr="00F525E0" w:rsidRDefault="00F525E0" w:rsidP="002A3E93">
            <w:pPr>
              <w:pStyle w:val="Brdtext"/>
              <w:rPr>
                <w:highlight w:val="red"/>
              </w:rPr>
            </w:pPr>
          </w:p>
          <w:p w:rsidR="002A3E93" w:rsidRPr="00F525E0" w:rsidRDefault="002A3E93" w:rsidP="002A3E93">
            <w:pPr>
              <w:pStyle w:val="Brdtext"/>
              <w:rPr>
                <w:highlight w:val="red"/>
              </w:rPr>
            </w:pPr>
            <w:r w:rsidRPr="00F525E0">
              <w:rPr>
                <w:highlight w:val="red"/>
              </w:rPr>
              <w:t>33.</w:t>
            </w:r>
            <w:r w:rsidR="00F525E0" w:rsidRPr="00F525E0">
              <w:rPr>
                <w:highlight w:val="red"/>
              </w:rPr>
              <w:t>3</w:t>
            </w:r>
          </w:p>
          <w:p w:rsidR="00F525E0" w:rsidRPr="00F525E0" w:rsidRDefault="00F525E0" w:rsidP="002A3E93">
            <w:pPr>
              <w:pStyle w:val="Brdtext"/>
              <w:rPr>
                <w:highlight w:val="red"/>
              </w:rPr>
            </w:pPr>
          </w:p>
          <w:p w:rsidR="002A3E93" w:rsidRPr="002A3E93" w:rsidRDefault="002A3E93" w:rsidP="002A3E93">
            <w:pPr>
              <w:pStyle w:val="Brdtext"/>
            </w:pPr>
            <w:r w:rsidRPr="00F525E0">
              <w:rPr>
                <w:highlight w:val="red"/>
              </w:rPr>
              <w:t>33.3</w:t>
            </w:r>
          </w:p>
        </w:tc>
        <w:tc>
          <w:tcPr>
            <w:tcW w:w="1871" w:type="dxa"/>
            <w:noWrap/>
          </w:tcPr>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F525E0" w:rsidRDefault="00F525E0" w:rsidP="002A3E93">
            <w:pPr>
              <w:pStyle w:val="Brdtext"/>
              <w:rPr>
                <w:lang w:val="en-US"/>
              </w:rPr>
            </w:pPr>
          </w:p>
          <w:p w:rsidR="002A3E93" w:rsidRPr="00DF06E2" w:rsidRDefault="002A3E93" w:rsidP="002A3E93">
            <w:pPr>
              <w:pStyle w:val="Brdtext"/>
              <w:rPr>
                <w:lang w:val="en-US"/>
              </w:rPr>
            </w:pPr>
            <w:r w:rsidRPr="00DF06E2">
              <w:rPr>
                <w:lang w:val="en-US"/>
              </w:rPr>
              <w:t>Evidence not provided</w:t>
            </w:r>
          </w:p>
          <w:p w:rsidR="002A3E93" w:rsidRDefault="002A3E93" w:rsidP="002A3E93">
            <w:pPr>
              <w:pStyle w:val="Brdtext"/>
              <w:rPr>
                <w:lang w:val="en-US"/>
              </w:rPr>
            </w:pPr>
            <w:r w:rsidRPr="00DF06E2">
              <w:rPr>
                <w:lang w:val="en-US"/>
              </w:rPr>
              <w:t>Evidence not provided</w:t>
            </w:r>
          </w:p>
          <w:p w:rsidR="002A3E93" w:rsidRDefault="002A3E93" w:rsidP="002A3E93">
            <w:pPr>
              <w:pStyle w:val="Brdtext"/>
              <w:rPr>
                <w:lang w:val="en-US"/>
              </w:rPr>
            </w:pPr>
          </w:p>
          <w:p w:rsidR="002A3E93" w:rsidRPr="00DF06E2" w:rsidRDefault="002A3E93" w:rsidP="002A3E93">
            <w:pPr>
              <w:pStyle w:val="Brdtext"/>
              <w:rPr>
                <w:lang w:val="en-US"/>
              </w:rPr>
            </w:pPr>
            <w:r w:rsidRPr="00DF06E2">
              <w:rPr>
                <w:lang w:val="en-US"/>
              </w:rPr>
              <w:t>Evidence not provided</w:t>
            </w:r>
          </w:p>
          <w:p w:rsidR="002A3E93" w:rsidRDefault="002A3E93" w:rsidP="002A3E93">
            <w:pPr>
              <w:pStyle w:val="Brdtext"/>
              <w:rPr>
                <w:lang w:val="en-US"/>
              </w:rPr>
            </w:pPr>
            <w:r w:rsidRPr="00DF06E2">
              <w:rPr>
                <w:lang w:val="en-US"/>
              </w:rPr>
              <w:t>Evidence not provided</w:t>
            </w:r>
          </w:p>
          <w:p w:rsidR="00F525E0" w:rsidRPr="00DF06E2" w:rsidRDefault="00F525E0" w:rsidP="002A3E93">
            <w:pPr>
              <w:pStyle w:val="Brdtext"/>
              <w:rPr>
                <w:lang w:val="en-US"/>
              </w:rPr>
            </w:pPr>
          </w:p>
          <w:p w:rsidR="002A3E93" w:rsidRPr="007841A3" w:rsidRDefault="002A3E93" w:rsidP="002A3E93">
            <w:pPr>
              <w:pStyle w:val="Brdtext"/>
            </w:pPr>
            <w:proofErr w:type="spellStart"/>
            <w:r>
              <w:t>Evidence</w:t>
            </w:r>
            <w:proofErr w:type="spellEnd"/>
            <w:r>
              <w:t xml:space="preserve"> not </w:t>
            </w:r>
            <w:proofErr w:type="spellStart"/>
            <w:r>
              <w:t>provided</w:t>
            </w:r>
            <w:proofErr w:type="spellEnd"/>
          </w:p>
        </w:tc>
      </w:tr>
    </w:tbl>
    <w:p w:rsidR="007D0CA0" w:rsidRPr="00DF06E2" w:rsidRDefault="007D0CA0" w:rsidP="00324325">
      <w:pPr>
        <w:pStyle w:val="Brdtext"/>
        <w:rPr>
          <w:lang w:val="en-US"/>
        </w:rPr>
      </w:pPr>
    </w:p>
    <w:p w:rsidR="0085185B" w:rsidRDefault="00220E92" w:rsidP="00324325">
      <w:pPr>
        <w:pStyle w:val="Brdtext"/>
      </w:pPr>
      <w:r>
        <w:lastRenderedPageBreak/>
        <w:t xml:space="preserve">Inom indikatorn andel studenter med funktionsnedsättning presterar vi mycket bra. Kan vi ta fram en </w:t>
      </w:r>
      <w:r w:rsidR="0085185B">
        <w:t xml:space="preserve">motsvarande </w:t>
      </w:r>
      <w:r>
        <w:t xml:space="preserve">uppskattning av hur stor andel av de anställda </w:t>
      </w:r>
      <w:r w:rsidR="0085185B">
        <w:t xml:space="preserve">som </w:t>
      </w:r>
      <w:r>
        <w:t xml:space="preserve">har någon form av funktionsnedsättning, skulle vi stärka vår ställning i denna SDG </w:t>
      </w:r>
      <w:r w:rsidR="00132C65">
        <w:t>avsevärt</w:t>
      </w:r>
      <w:r>
        <w:t xml:space="preserve">. </w:t>
      </w:r>
      <w:r w:rsidR="008D070A">
        <w:t xml:space="preserve">I internationell jämförelse har en </w:t>
      </w:r>
      <w:r w:rsidR="00132C65">
        <w:t>hög</w:t>
      </w:r>
      <w:r w:rsidR="008D070A">
        <w:t xml:space="preserve"> andel av befolkningen i Sverige genomgått en högskoleutbildning, vilket medför att det är svårt att hävda sig inom mått som mäter andelen personer som kommer från hem där ingen av föräldrarna tidigare studerat på universitet eller högskola.</w:t>
      </w:r>
      <w:r w:rsidR="007D0CA0">
        <w:t xml:space="preserve"> </w:t>
      </w:r>
    </w:p>
    <w:p w:rsidR="0085185B" w:rsidRDefault="007D0CA0" w:rsidP="00324325">
      <w:pPr>
        <w:pStyle w:val="Brdtext"/>
      </w:pPr>
      <w:r>
        <w:t xml:space="preserve">Sverige har numera studieavgifter för studenter från tredje land och detta </w:t>
      </w:r>
      <w:r w:rsidR="00220E92">
        <w:t xml:space="preserve">i </w:t>
      </w:r>
      <w:r>
        <w:t>kombination med att vi endast har ett kandi</w:t>
      </w:r>
      <w:r w:rsidR="003445BC">
        <w:t>d</w:t>
      </w:r>
      <w:r>
        <w:t>atprogram på engelska medför att det är svårt att hävda sig inom indikatorn Studenter från utvecklingsländer</w:t>
      </w:r>
      <w:r w:rsidR="00220E92">
        <w:t xml:space="preserve"> på kandidatnivå</w:t>
      </w:r>
      <w:r>
        <w:t xml:space="preserve">. </w:t>
      </w:r>
    </w:p>
    <w:p w:rsidR="0007415D" w:rsidRPr="00AA1B28" w:rsidRDefault="003445BC" w:rsidP="00324325">
      <w:pPr>
        <w:pStyle w:val="Brdtext"/>
      </w:pPr>
      <w:r>
        <w:t>Sett ti</w:t>
      </w:r>
      <w:r w:rsidR="0085185B">
        <w:t xml:space="preserve">ll åtgärder mot diskriminering, </w:t>
      </w:r>
      <w:r>
        <w:t>säkerställer svensk lag att det är li</w:t>
      </w:r>
      <w:r w:rsidR="00552BB1">
        <w:t>ka för alla, snarare än positiv</w:t>
      </w:r>
      <w:r>
        <w:t xml:space="preserve"> särbehandling, vilket är en förutsättning för att få bät</w:t>
      </w:r>
      <w:r w:rsidR="0085185B">
        <w:t>tre värden inom denna indikator</w:t>
      </w:r>
      <w:r>
        <w:t xml:space="preserve">. </w:t>
      </w:r>
      <w:r w:rsidR="008D070A">
        <w:t>Här finns det emellertid möjlighet att förbättra underlaget till nästa inrapportering, då vi inte kunde presentera</w:t>
      </w:r>
      <w:r w:rsidR="00AA1B28">
        <w:t xml:space="preserve"> ”bevis” för samtliga uppgifter, samt att THE understryker vikten av att </w:t>
      </w:r>
      <w:r w:rsidR="009B750E">
        <w:t>redovisa</w:t>
      </w:r>
      <w:r w:rsidR="00AA1B28">
        <w:t xml:space="preserve"> bra ”best </w:t>
      </w:r>
      <w:proofErr w:type="spellStart"/>
      <w:r w:rsidR="00AA1B28">
        <w:t>practices</w:t>
      </w:r>
      <w:proofErr w:type="spellEnd"/>
      <w:r w:rsidR="00AA1B28">
        <w:t>”.</w:t>
      </w:r>
      <w:r w:rsidR="003F77BA">
        <w:t xml:space="preserve"> </w:t>
      </w:r>
      <w:r w:rsidR="003F77BA" w:rsidRPr="003F77BA">
        <w:t>En policy krävs för att få full poäng inom d</w:t>
      </w:r>
      <w:r w:rsidR="003F77BA">
        <w:t xml:space="preserve">e indikatorer som efterfrågar en policy. </w:t>
      </w:r>
    </w:p>
    <w:p w:rsidR="007D0CA0" w:rsidRPr="00AA1B28" w:rsidRDefault="007D0CA0" w:rsidP="00324325">
      <w:pPr>
        <w:pStyle w:val="Brdtext"/>
      </w:pPr>
    </w:p>
    <w:p w:rsidR="00324325" w:rsidRPr="003445BC" w:rsidRDefault="00324325" w:rsidP="000C272F">
      <w:pPr>
        <w:pStyle w:val="Rubrik3"/>
        <w:rPr>
          <w:lang w:val="en-US"/>
        </w:rPr>
      </w:pPr>
      <w:bookmarkStart w:id="12" w:name="_Toc52351579"/>
      <w:r w:rsidRPr="003445BC">
        <w:rPr>
          <w:lang w:val="en-US"/>
        </w:rPr>
        <w:t>SDG 11</w:t>
      </w:r>
      <w:r w:rsidR="00AF18C7" w:rsidRPr="003445BC">
        <w:rPr>
          <w:lang w:val="en-US"/>
        </w:rPr>
        <w:t xml:space="preserve"> Sustainable Cities and Communities</w:t>
      </w:r>
      <w:bookmarkEnd w:id="12"/>
    </w:p>
    <w:tbl>
      <w:tblPr>
        <w:tblStyle w:val="Tabellrutnt"/>
        <w:tblW w:w="0" w:type="auto"/>
        <w:tblLook w:val="04A0" w:firstRow="1" w:lastRow="0" w:firstColumn="1" w:lastColumn="0" w:noHBand="0" w:noVBand="1"/>
      </w:tblPr>
      <w:tblGrid>
        <w:gridCol w:w="3909"/>
        <w:gridCol w:w="1723"/>
        <w:gridCol w:w="920"/>
        <w:gridCol w:w="1871"/>
      </w:tblGrid>
      <w:tr w:rsidR="002A3E93" w:rsidRPr="00324325" w:rsidTr="0007415D">
        <w:trPr>
          <w:trHeight w:val="315"/>
        </w:trPr>
        <w:tc>
          <w:tcPr>
            <w:tcW w:w="3909" w:type="dxa"/>
            <w:noWrap/>
          </w:tcPr>
          <w:p w:rsidR="002A3E93" w:rsidRPr="001A24C6" w:rsidRDefault="002A3E93" w:rsidP="002A3E93">
            <w:pPr>
              <w:pStyle w:val="Brdtext"/>
              <w:rPr>
                <w:b/>
                <w:lang w:val="en-US"/>
              </w:rPr>
            </w:pPr>
            <w:proofErr w:type="spellStart"/>
            <w:r w:rsidRPr="001A24C6">
              <w:rPr>
                <w:b/>
                <w:lang w:val="en-US"/>
              </w:rPr>
              <w:t>Indikator</w:t>
            </w:r>
            <w:proofErr w:type="spellEnd"/>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71"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07415D">
        <w:trPr>
          <w:trHeight w:val="315"/>
        </w:trPr>
        <w:tc>
          <w:tcPr>
            <w:tcW w:w="3909" w:type="dxa"/>
            <w:noWrap/>
            <w:hideMark/>
          </w:tcPr>
          <w:p w:rsidR="002A3E93" w:rsidRPr="006C7397" w:rsidRDefault="002A3E93" w:rsidP="002A3E93">
            <w:pPr>
              <w:pStyle w:val="Brdtext"/>
              <w:rPr>
                <w:b/>
                <w:lang w:val="en-US"/>
              </w:rPr>
            </w:pPr>
            <w:r w:rsidRPr="006C7397">
              <w:rPr>
                <w:b/>
                <w:highlight w:val="green"/>
                <w:lang w:val="en-US"/>
              </w:rPr>
              <w:t>Research on sustainable cities and communities</w:t>
            </w:r>
          </w:p>
          <w:p w:rsidR="002A3E93" w:rsidRPr="0003172E" w:rsidRDefault="002A3E93" w:rsidP="002A3E93">
            <w:pPr>
              <w:pStyle w:val="Brdtext"/>
              <w:rPr>
                <w:highlight w:val="yellow"/>
                <w:lang w:val="en-US"/>
              </w:rPr>
            </w:pPr>
            <w:r w:rsidRPr="0003172E">
              <w:rPr>
                <w:highlight w:val="yellow"/>
                <w:lang w:val="en-US"/>
              </w:rPr>
              <w:t xml:space="preserve">Proportion of papers in the top 10 per cent of journals as defined by </w:t>
            </w:r>
            <w:proofErr w:type="spellStart"/>
            <w:r w:rsidRPr="0003172E">
              <w:rPr>
                <w:highlight w:val="yellow"/>
                <w:lang w:val="en-US"/>
              </w:rPr>
              <w:t>Citescore</w:t>
            </w:r>
            <w:proofErr w:type="spellEnd"/>
            <w:r w:rsidRPr="0003172E">
              <w:rPr>
                <w:highlight w:val="yellow"/>
                <w:lang w:val="en-US"/>
              </w:rPr>
              <w:t xml:space="preserve"> (10%)</w:t>
            </w:r>
          </w:p>
          <w:p w:rsidR="002A3E93" w:rsidRPr="0003172E" w:rsidRDefault="002A3E93" w:rsidP="002A3E93">
            <w:pPr>
              <w:pStyle w:val="Brdtext"/>
              <w:rPr>
                <w:highlight w:val="yellow"/>
                <w:lang w:val="en-US"/>
              </w:rPr>
            </w:pPr>
            <w:r w:rsidRPr="0003172E">
              <w:rPr>
                <w:highlight w:val="yellow"/>
                <w:lang w:val="en-US"/>
              </w:rPr>
              <w:t>Field-weighted citation index of papers produced by the university (10%)</w:t>
            </w:r>
          </w:p>
          <w:p w:rsidR="002A3E93" w:rsidRPr="008726EC" w:rsidRDefault="002A3E93" w:rsidP="002A3E93">
            <w:pPr>
              <w:pStyle w:val="Brdtext"/>
              <w:rPr>
                <w:highlight w:val="green"/>
                <w:lang w:val="en-US"/>
              </w:rPr>
            </w:pPr>
            <w:r w:rsidRPr="006C7397">
              <w:rPr>
                <w:highlight w:val="green"/>
                <w:lang w:val="en-US"/>
              </w:rPr>
              <w:t>Number of publications (7%)</w:t>
            </w:r>
          </w:p>
        </w:tc>
        <w:tc>
          <w:tcPr>
            <w:tcW w:w="1723" w:type="dxa"/>
            <w:noWrap/>
            <w:hideMark/>
          </w:tcPr>
          <w:p w:rsidR="002A3E93" w:rsidRPr="007841A3" w:rsidRDefault="002A3E93" w:rsidP="002A3E93">
            <w:pPr>
              <w:pStyle w:val="Brdtext"/>
              <w:rPr>
                <w:b/>
                <w:highlight w:val="green"/>
              </w:rPr>
            </w:pPr>
            <w:r w:rsidRPr="007841A3">
              <w:rPr>
                <w:b/>
                <w:highlight w:val="green"/>
              </w:rPr>
              <w:t>27%</w:t>
            </w:r>
          </w:p>
        </w:tc>
        <w:tc>
          <w:tcPr>
            <w:tcW w:w="920" w:type="dxa"/>
            <w:noWrap/>
            <w:hideMark/>
          </w:tcPr>
          <w:p w:rsidR="002A3E93" w:rsidRPr="007841A3" w:rsidRDefault="002A3E93" w:rsidP="002A3E93">
            <w:pPr>
              <w:pStyle w:val="Brdtext"/>
              <w:rPr>
                <w:b/>
                <w:highlight w:val="green"/>
              </w:rPr>
            </w:pPr>
            <w:r w:rsidRPr="007841A3">
              <w:rPr>
                <w:b/>
                <w:highlight w:val="green"/>
              </w:rPr>
              <w:t>80.2</w:t>
            </w:r>
          </w:p>
          <w:p w:rsidR="002A3E93" w:rsidRPr="00437B07" w:rsidRDefault="002A3E93" w:rsidP="002A3E93">
            <w:pPr>
              <w:pStyle w:val="Brdtext"/>
              <w:rPr>
                <w:highlight w:val="yellow"/>
              </w:rPr>
            </w:pPr>
            <w:r w:rsidRPr="00437B07">
              <w:rPr>
                <w:highlight w:val="yellow"/>
              </w:rPr>
              <w:t>70.3</w:t>
            </w:r>
          </w:p>
          <w:p w:rsidR="002A3E93" w:rsidRPr="00437B07" w:rsidRDefault="002A3E93" w:rsidP="002A3E93">
            <w:pPr>
              <w:pStyle w:val="Brdtext"/>
              <w:rPr>
                <w:highlight w:val="yellow"/>
              </w:rPr>
            </w:pPr>
          </w:p>
          <w:p w:rsidR="002A3E93" w:rsidRDefault="002A3E93" w:rsidP="002A3E93">
            <w:pPr>
              <w:pStyle w:val="Brdtext"/>
            </w:pPr>
            <w:r w:rsidRPr="00437B07">
              <w:rPr>
                <w:highlight w:val="yellow"/>
              </w:rPr>
              <w:t>76.3</w:t>
            </w:r>
          </w:p>
          <w:p w:rsidR="002A3E93" w:rsidRPr="00737175" w:rsidRDefault="002A3E93" w:rsidP="002A3E93">
            <w:pPr>
              <w:pStyle w:val="Brdtext"/>
            </w:pPr>
          </w:p>
          <w:p w:rsidR="002A3E93" w:rsidRPr="008726EC" w:rsidRDefault="002A3E93" w:rsidP="002A3E93">
            <w:pPr>
              <w:pStyle w:val="Brdtext"/>
              <w:rPr>
                <w:highlight w:val="green"/>
              </w:rPr>
            </w:pPr>
            <w:r w:rsidRPr="00AF04BE">
              <w:rPr>
                <w:highlight w:val="green"/>
              </w:rPr>
              <w:t>99.8</w:t>
            </w:r>
          </w:p>
        </w:tc>
        <w:tc>
          <w:tcPr>
            <w:tcW w:w="1871" w:type="dxa"/>
            <w:noWrap/>
            <w:hideMark/>
          </w:tcPr>
          <w:p w:rsidR="002A3E93" w:rsidRPr="007841A3" w:rsidRDefault="002A3E93" w:rsidP="002A3E93">
            <w:pPr>
              <w:pStyle w:val="Brdtext"/>
              <w:rPr>
                <w:b/>
              </w:rPr>
            </w:pPr>
            <w:r w:rsidRPr="007841A3">
              <w:rPr>
                <w:b/>
              </w:rPr>
              <w:t>=55</w:t>
            </w:r>
          </w:p>
        </w:tc>
      </w:tr>
      <w:tr w:rsidR="002A3E93" w:rsidRPr="00DA2C92" w:rsidTr="00703701">
        <w:trPr>
          <w:trHeight w:val="315"/>
        </w:trPr>
        <w:tc>
          <w:tcPr>
            <w:tcW w:w="3909" w:type="dxa"/>
            <w:noWrap/>
            <w:hideMark/>
          </w:tcPr>
          <w:p w:rsidR="002A3E93" w:rsidRPr="006C7397" w:rsidRDefault="002A3E93" w:rsidP="002A3E93">
            <w:pPr>
              <w:pStyle w:val="Brdtext"/>
              <w:rPr>
                <w:b/>
                <w:lang w:val="en-US"/>
              </w:rPr>
            </w:pPr>
            <w:r w:rsidRPr="006C7397">
              <w:rPr>
                <w:b/>
                <w:highlight w:val="yellow"/>
                <w:lang w:val="en-US"/>
              </w:rPr>
              <w:t>Support of arts and heritage</w:t>
            </w:r>
          </w:p>
          <w:p w:rsidR="002A3E93" w:rsidRPr="0003172E" w:rsidRDefault="002A3E93" w:rsidP="002A3E93">
            <w:pPr>
              <w:pStyle w:val="Brdtext"/>
              <w:rPr>
                <w:highlight w:val="red"/>
                <w:lang w:val="en-US"/>
              </w:rPr>
            </w:pPr>
            <w:r w:rsidRPr="0003172E">
              <w:rPr>
                <w:highlight w:val="red"/>
                <w:lang w:val="en-US"/>
              </w:rPr>
              <w:t>Public access to significant buildings at the university (3.75%)</w:t>
            </w:r>
          </w:p>
          <w:p w:rsidR="002A3E93" w:rsidRPr="0003172E" w:rsidRDefault="002A3E93" w:rsidP="002A3E93">
            <w:pPr>
              <w:pStyle w:val="Brdtext"/>
              <w:rPr>
                <w:highlight w:val="red"/>
                <w:lang w:val="en-US"/>
              </w:rPr>
            </w:pPr>
            <w:r w:rsidRPr="0003172E">
              <w:rPr>
                <w:highlight w:val="red"/>
                <w:lang w:val="en-US"/>
              </w:rPr>
              <w:t>Public access to university libraries (3.75%)</w:t>
            </w:r>
          </w:p>
          <w:p w:rsidR="002A3E93" w:rsidRPr="0003172E" w:rsidRDefault="002A3E93" w:rsidP="002A3E93">
            <w:pPr>
              <w:pStyle w:val="Brdtext"/>
              <w:rPr>
                <w:highlight w:val="green"/>
                <w:lang w:val="en-US"/>
              </w:rPr>
            </w:pPr>
            <w:r w:rsidRPr="0003172E">
              <w:rPr>
                <w:highlight w:val="green"/>
                <w:lang w:val="en-US"/>
              </w:rPr>
              <w:t>Public access to university museums, galleries or works of art (3.75%)</w:t>
            </w:r>
          </w:p>
          <w:p w:rsidR="002A3E93" w:rsidRPr="0003172E" w:rsidRDefault="002A3E93" w:rsidP="002A3E93">
            <w:pPr>
              <w:pStyle w:val="Brdtext"/>
              <w:rPr>
                <w:highlight w:val="green"/>
                <w:lang w:val="en-US"/>
              </w:rPr>
            </w:pPr>
            <w:r w:rsidRPr="0003172E">
              <w:rPr>
                <w:highlight w:val="green"/>
                <w:lang w:val="en-US"/>
              </w:rPr>
              <w:t>Public access to open and green spaces (3.75%)</w:t>
            </w:r>
          </w:p>
          <w:p w:rsidR="002A3E93" w:rsidRPr="0003172E" w:rsidRDefault="002A3E93" w:rsidP="002A3E93">
            <w:pPr>
              <w:pStyle w:val="Brdtext"/>
              <w:rPr>
                <w:highlight w:val="green"/>
                <w:lang w:val="en-US"/>
              </w:rPr>
            </w:pPr>
            <w:r w:rsidRPr="0003172E">
              <w:rPr>
                <w:highlight w:val="green"/>
                <w:lang w:val="en-US"/>
              </w:rPr>
              <w:lastRenderedPageBreak/>
              <w:t>Provide artistic events for members of the public, such as concerts (3.8%)</w:t>
            </w:r>
          </w:p>
          <w:p w:rsidR="002A3E93" w:rsidRPr="008726EC" w:rsidRDefault="002A3E93" w:rsidP="002A3E93">
            <w:pPr>
              <w:pStyle w:val="Brdtext"/>
              <w:rPr>
                <w:highlight w:val="yellow"/>
                <w:lang w:val="en-US"/>
              </w:rPr>
            </w:pPr>
            <w:r w:rsidRPr="0003172E">
              <w:rPr>
                <w:highlight w:val="green"/>
                <w:lang w:val="en-US"/>
              </w:rPr>
              <w:t>Record and preserve local heritage (3.8%)</w:t>
            </w:r>
          </w:p>
        </w:tc>
        <w:tc>
          <w:tcPr>
            <w:tcW w:w="1723" w:type="dxa"/>
            <w:noWrap/>
            <w:hideMark/>
          </w:tcPr>
          <w:p w:rsidR="002A3E93" w:rsidRPr="007841A3" w:rsidRDefault="002A3E93" w:rsidP="002A3E93">
            <w:pPr>
              <w:pStyle w:val="Brdtext"/>
              <w:rPr>
                <w:b/>
                <w:highlight w:val="yellow"/>
              </w:rPr>
            </w:pPr>
            <w:r w:rsidRPr="007841A3">
              <w:rPr>
                <w:b/>
                <w:highlight w:val="yellow"/>
              </w:rPr>
              <w:lastRenderedPageBreak/>
              <w:t>22.6%</w:t>
            </w:r>
          </w:p>
        </w:tc>
        <w:tc>
          <w:tcPr>
            <w:tcW w:w="920" w:type="dxa"/>
            <w:noWrap/>
            <w:hideMark/>
          </w:tcPr>
          <w:p w:rsidR="002A3E93" w:rsidRPr="007841A3" w:rsidRDefault="002A3E93" w:rsidP="002A3E93">
            <w:pPr>
              <w:pStyle w:val="Brdtext"/>
              <w:rPr>
                <w:b/>
                <w:highlight w:val="yellow"/>
              </w:rPr>
            </w:pPr>
            <w:r w:rsidRPr="007841A3">
              <w:rPr>
                <w:b/>
                <w:highlight w:val="yellow"/>
              </w:rPr>
              <w:t>77.9</w:t>
            </w:r>
          </w:p>
          <w:p w:rsidR="00437B07" w:rsidRDefault="002A3E93" w:rsidP="002A3E93">
            <w:pPr>
              <w:pStyle w:val="Brdtext"/>
              <w:rPr>
                <w:highlight w:val="red"/>
              </w:rPr>
            </w:pPr>
            <w:r w:rsidRPr="00F525E0">
              <w:rPr>
                <w:highlight w:val="red"/>
              </w:rPr>
              <w:t>33.</w:t>
            </w:r>
            <w:r w:rsidR="00F525E0" w:rsidRPr="00F525E0">
              <w:rPr>
                <w:highlight w:val="red"/>
              </w:rPr>
              <w:t>3</w:t>
            </w:r>
          </w:p>
          <w:p w:rsidR="00437B07" w:rsidRDefault="00437B07" w:rsidP="002A3E93">
            <w:pPr>
              <w:pStyle w:val="Brdtext"/>
              <w:rPr>
                <w:highlight w:val="red"/>
              </w:rPr>
            </w:pPr>
          </w:p>
          <w:p w:rsidR="002A3E93" w:rsidRPr="00437B07" w:rsidRDefault="002A3E93" w:rsidP="002A3E93">
            <w:pPr>
              <w:pStyle w:val="Brdtext"/>
              <w:rPr>
                <w:highlight w:val="red"/>
              </w:rPr>
            </w:pPr>
            <w:r w:rsidRPr="00F525E0">
              <w:rPr>
                <w:highlight w:val="red"/>
              </w:rPr>
              <w:t>33.3</w:t>
            </w: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Default="002A3E93" w:rsidP="002A3E93">
            <w:pPr>
              <w:pStyle w:val="Brdtext"/>
              <w:rPr>
                <w:highlight w:val="green"/>
              </w:rPr>
            </w:pPr>
            <w:r w:rsidRPr="00AF04BE">
              <w:rPr>
                <w:highlight w:val="green"/>
              </w:rPr>
              <w:lastRenderedPageBreak/>
              <w:t>100</w:t>
            </w:r>
          </w:p>
          <w:p w:rsidR="0003172E" w:rsidRDefault="0003172E" w:rsidP="002A3E93">
            <w:pPr>
              <w:pStyle w:val="Brdtext"/>
              <w:rPr>
                <w:highlight w:val="green"/>
              </w:rPr>
            </w:pPr>
          </w:p>
          <w:p w:rsidR="0003172E" w:rsidRPr="0003172E" w:rsidRDefault="0003172E" w:rsidP="002A3E93">
            <w:pPr>
              <w:pStyle w:val="Brdtext"/>
              <w:rPr>
                <w:highlight w:val="green"/>
              </w:rPr>
            </w:pPr>
            <w:r>
              <w:rPr>
                <w:highlight w:val="green"/>
              </w:rPr>
              <w:t>100</w:t>
            </w:r>
          </w:p>
        </w:tc>
        <w:tc>
          <w:tcPr>
            <w:tcW w:w="1871" w:type="dxa"/>
            <w:noWrap/>
          </w:tcPr>
          <w:p w:rsidR="002A3E93" w:rsidRPr="00AF04BE" w:rsidRDefault="002A3E93" w:rsidP="002A3E93">
            <w:pPr>
              <w:pStyle w:val="Brdtext"/>
              <w:rPr>
                <w:lang w:val="en-US"/>
              </w:rPr>
            </w:pPr>
          </w:p>
          <w:p w:rsidR="002A3E93" w:rsidRPr="00737175" w:rsidRDefault="002A3E93" w:rsidP="002A3E93">
            <w:pPr>
              <w:pStyle w:val="Brdtext"/>
              <w:rPr>
                <w:lang w:val="en-US"/>
              </w:rPr>
            </w:pPr>
            <w:r w:rsidRPr="00737175">
              <w:rPr>
                <w:lang w:val="en-US"/>
              </w:rPr>
              <w:t>Evidence not provided</w:t>
            </w:r>
          </w:p>
          <w:p w:rsidR="002A3E93" w:rsidRPr="00737175" w:rsidRDefault="002A3E93" w:rsidP="002A3E93">
            <w:pPr>
              <w:pStyle w:val="Brdtext"/>
              <w:rPr>
                <w:lang w:val="en-US"/>
              </w:rPr>
            </w:pPr>
            <w:r w:rsidRPr="00737175">
              <w:rPr>
                <w:lang w:val="en-US"/>
              </w:rPr>
              <w:t>Evidence not provided</w:t>
            </w:r>
          </w:p>
          <w:p w:rsidR="002A3E93" w:rsidRPr="00737175" w:rsidRDefault="002A3E93" w:rsidP="002A3E93">
            <w:pPr>
              <w:pStyle w:val="Brdtext"/>
              <w:rPr>
                <w:lang w:val="en-US"/>
              </w:rPr>
            </w:pPr>
          </w:p>
        </w:tc>
      </w:tr>
      <w:tr w:rsidR="002A3E93" w:rsidRPr="00324325" w:rsidTr="00703701">
        <w:trPr>
          <w:trHeight w:val="315"/>
        </w:trPr>
        <w:tc>
          <w:tcPr>
            <w:tcW w:w="3909" w:type="dxa"/>
            <w:noWrap/>
            <w:hideMark/>
          </w:tcPr>
          <w:p w:rsidR="002A3E93" w:rsidRPr="006C7397" w:rsidRDefault="002A3E93" w:rsidP="002A3E93">
            <w:pPr>
              <w:pStyle w:val="Brdtext"/>
              <w:rPr>
                <w:b/>
                <w:highlight w:val="yellow"/>
                <w:lang w:val="en-US"/>
              </w:rPr>
            </w:pPr>
            <w:r w:rsidRPr="006C7397">
              <w:rPr>
                <w:b/>
                <w:highlight w:val="yellow"/>
                <w:lang w:val="en-US"/>
              </w:rPr>
              <w:t>Expenditure on arts and heritage</w:t>
            </w:r>
          </w:p>
        </w:tc>
        <w:tc>
          <w:tcPr>
            <w:tcW w:w="1723" w:type="dxa"/>
            <w:noWrap/>
            <w:hideMark/>
          </w:tcPr>
          <w:p w:rsidR="002A3E93" w:rsidRPr="007841A3" w:rsidRDefault="002A3E93" w:rsidP="002A3E93">
            <w:pPr>
              <w:pStyle w:val="Brdtext"/>
              <w:rPr>
                <w:b/>
                <w:highlight w:val="yellow"/>
              </w:rPr>
            </w:pPr>
            <w:r w:rsidRPr="007841A3">
              <w:rPr>
                <w:b/>
                <w:highlight w:val="yellow"/>
              </w:rPr>
              <w:t>15.3%</w:t>
            </w:r>
          </w:p>
        </w:tc>
        <w:tc>
          <w:tcPr>
            <w:tcW w:w="920" w:type="dxa"/>
            <w:noWrap/>
            <w:hideMark/>
          </w:tcPr>
          <w:p w:rsidR="002A3E93" w:rsidRPr="007841A3" w:rsidRDefault="002A3E93" w:rsidP="002A3E93">
            <w:pPr>
              <w:pStyle w:val="Brdtext"/>
              <w:rPr>
                <w:b/>
                <w:highlight w:val="yellow"/>
              </w:rPr>
            </w:pPr>
            <w:r w:rsidRPr="007841A3">
              <w:rPr>
                <w:b/>
                <w:highlight w:val="yellow"/>
              </w:rPr>
              <w:t>62.9</w:t>
            </w:r>
          </w:p>
        </w:tc>
        <w:tc>
          <w:tcPr>
            <w:tcW w:w="1871" w:type="dxa"/>
            <w:noWrap/>
          </w:tcPr>
          <w:p w:rsidR="002A3E93" w:rsidRPr="00324325" w:rsidRDefault="002A3E93" w:rsidP="002A3E93">
            <w:pPr>
              <w:pStyle w:val="Brdtext"/>
            </w:pPr>
          </w:p>
        </w:tc>
      </w:tr>
      <w:tr w:rsidR="002A3E93" w:rsidRPr="00DA2C92" w:rsidTr="00703701">
        <w:trPr>
          <w:trHeight w:val="315"/>
        </w:trPr>
        <w:tc>
          <w:tcPr>
            <w:tcW w:w="3909" w:type="dxa"/>
            <w:noWrap/>
            <w:hideMark/>
          </w:tcPr>
          <w:p w:rsidR="002A3E93" w:rsidRPr="00187448" w:rsidRDefault="002A3E93" w:rsidP="002A3E93">
            <w:pPr>
              <w:pStyle w:val="Brdtext"/>
              <w:rPr>
                <w:b/>
                <w:highlight w:val="green"/>
                <w:lang w:val="en-US"/>
              </w:rPr>
            </w:pPr>
            <w:r w:rsidRPr="00187448">
              <w:rPr>
                <w:b/>
                <w:highlight w:val="green"/>
                <w:lang w:val="en-US"/>
              </w:rPr>
              <w:t>Sustainable practices</w:t>
            </w:r>
          </w:p>
          <w:p w:rsidR="002A3E93" w:rsidRPr="006C7397" w:rsidRDefault="002A3E93" w:rsidP="002A3E93">
            <w:pPr>
              <w:pStyle w:val="Brdtext"/>
              <w:rPr>
                <w:highlight w:val="green"/>
                <w:lang w:val="en-US"/>
              </w:rPr>
            </w:pPr>
            <w:r w:rsidRPr="006C7397">
              <w:rPr>
                <w:highlight w:val="green"/>
                <w:lang w:val="en-US"/>
              </w:rPr>
              <w:t>Targets on sustainable commuting (3.9%)</w:t>
            </w:r>
          </w:p>
          <w:p w:rsidR="002A3E93" w:rsidRPr="006C7397" w:rsidRDefault="002A3E93" w:rsidP="002A3E93">
            <w:pPr>
              <w:pStyle w:val="Brdtext"/>
              <w:rPr>
                <w:highlight w:val="green"/>
                <w:lang w:val="en-US"/>
              </w:rPr>
            </w:pPr>
            <w:r w:rsidRPr="006C7397">
              <w:rPr>
                <w:highlight w:val="green"/>
                <w:lang w:val="en-US"/>
              </w:rPr>
              <w:t>Promote sustainable commuting (3.9%)</w:t>
            </w:r>
          </w:p>
          <w:p w:rsidR="002A3E93" w:rsidRPr="006C7397" w:rsidRDefault="002A3E93" w:rsidP="002A3E93">
            <w:pPr>
              <w:pStyle w:val="Brdtext"/>
              <w:rPr>
                <w:highlight w:val="green"/>
                <w:lang w:val="en-US"/>
              </w:rPr>
            </w:pPr>
            <w:r w:rsidRPr="006C7397">
              <w:rPr>
                <w:highlight w:val="green"/>
                <w:lang w:val="en-US"/>
              </w:rPr>
              <w:t>Encourage telecommuting, remote working or condensed working weeks (3.9%)</w:t>
            </w:r>
          </w:p>
          <w:p w:rsidR="002A3E93" w:rsidRPr="006C7397" w:rsidRDefault="002A3E93" w:rsidP="002A3E93">
            <w:pPr>
              <w:pStyle w:val="Brdtext"/>
              <w:rPr>
                <w:highlight w:val="green"/>
                <w:lang w:val="en-US"/>
              </w:rPr>
            </w:pPr>
            <w:r w:rsidRPr="006C7397">
              <w:rPr>
                <w:highlight w:val="green"/>
                <w:lang w:val="en-US"/>
              </w:rPr>
              <w:t>Affordable housing for students (3.9%)</w:t>
            </w:r>
          </w:p>
          <w:p w:rsidR="002A3E93" w:rsidRPr="006C7397" w:rsidRDefault="002A3E93" w:rsidP="002A3E93">
            <w:pPr>
              <w:pStyle w:val="Brdtext"/>
              <w:rPr>
                <w:highlight w:val="green"/>
                <w:lang w:val="en-US"/>
              </w:rPr>
            </w:pPr>
            <w:r w:rsidRPr="006C7397">
              <w:rPr>
                <w:highlight w:val="green"/>
                <w:lang w:val="en-US"/>
              </w:rPr>
              <w:t>Affordable housing for staff (3.9%)</w:t>
            </w:r>
          </w:p>
          <w:p w:rsidR="00F525E0" w:rsidRDefault="00F525E0" w:rsidP="002A3E93">
            <w:pPr>
              <w:pStyle w:val="Brdtext"/>
              <w:rPr>
                <w:highlight w:val="green"/>
                <w:lang w:val="en-US"/>
              </w:rPr>
            </w:pPr>
          </w:p>
          <w:p w:rsidR="002A3E93" w:rsidRPr="0003172E" w:rsidRDefault="002A3E93" w:rsidP="002A3E93">
            <w:pPr>
              <w:pStyle w:val="Brdtext"/>
              <w:rPr>
                <w:highlight w:val="red"/>
                <w:lang w:val="en-US"/>
              </w:rPr>
            </w:pPr>
            <w:proofErr w:type="spellStart"/>
            <w:r w:rsidRPr="0003172E">
              <w:rPr>
                <w:highlight w:val="red"/>
                <w:lang w:val="en-US"/>
              </w:rPr>
              <w:t>Prioritise</w:t>
            </w:r>
            <w:proofErr w:type="spellEnd"/>
            <w:r w:rsidRPr="0003172E">
              <w:rPr>
                <w:highlight w:val="red"/>
                <w:lang w:val="en-US"/>
              </w:rPr>
              <w:t xml:space="preserve"> pedestrian access on campus (3.9%)</w:t>
            </w:r>
          </w:p>
          <w:p w:rsidR="002A3E93" w:rsidRPr="0003172E" w:rsidRDefault="002A3E93" w:rsidP="002A3E93">
            <w:pPr>
              <w:pStyle w:val="Brdtext"/>
              <w:rPr>
                <w:highlight w:val="red"/>
                <w:lang w:val="en-US"/>
              </w:rPr>
            </w:pPr>
            <w:r w:rsidRPr="0003172E">
              <w:rPr>
                <w:highlight w:val="red"/>
                <w:lang w:val="en-US"/>
              </w:rPr>
              <w:t>Work with local authorities to address planning issues, including the provision of affordable housing for local residents (3.9%)</w:t>
            </w:r>
          </w:p>
          <w:p w:rsidR="00F525E0" w:rsidRPr="006C7397" w:rsidRDefault="00F525E0" w:rsidP="002A3E93">
            <w:pPr>
              <w:pStyle w:val="Brdtext"/>
              <w:rPr>
                <w:highlight w:val="green"/>
                <w:lang w:val="en-US"/>
              </w:rPr>
            </w:pPr>
          </w:p>
          <w:p w:rsidR="002A3E93" w:rsidRPr="00187448" w:rsidRDefault="002A3E93" w:rsidP="002A3E93">
            <w:pPr>
              <w:pStyle w:val="Brdtext"/>
              <w:rPr>
                <w:highlight w:val="green"/>
                <w:lang w:val="en-US"/>
              </w:rPr>
            </w:pPr>
            <w:r w:rsidRPr="00187448">
              <w:rPr>
                <w:highlight w:val="green"/>
                <w:lang w:val="en-US"/>
              </w:rPr>
              <w:t>Build to sustainable standards (3.9%)</w:t>
            </w:r>
          </w:p>
          <w:p w:rsidR="002A3E93" w:rsidRPr="00187448" w:rsidRDefault="002A3E93" w:rsidP="002A3E93">
            <w:pPr>
              <w:pStyle w:val="Brdtext"/>
              <w:rPr>
                <w:highlight w:val="green"/>
                <w:lang w:val="en-US"/>
              </w:rPr>
            </w:pPr>
            <w:r w:rsidRPr="00187448">
              <w:rPr>
                <w:highlight w:val="green"/>
                <w:lang w:val="en-US"/>
              </w:rPr>
              <w:t>Build on brownfield sites (3.9%)</w:t>
            </w:r>
          </w:p>
        </w:tc>
        <w:tc>
          <w:tcPr>
            <w:tcW w:w="1723" w:type="dxa"/>
            <w:noWrap/>
            <w:hideMark/>
          </w:tcPr>
          <w:p w:rsidR="002A3E93" w:rsidRPr="00F525E0" w:rsidRDefault="002A3E93" w:rsidP="002A3E93">
            <w:pPr>
              <w:pStyle w:val="Brdtext"/>
              <w:rPr>
                <w:b/>
                <w:highlight w:val="green"/>
              </w:rPr>
            </w:pPr>
            <w:r w:rsidRPr="00F525E0">
              <w:rPr>
                <w:b/>
                <w:highlight w:val="green"/>
              </w:rPr>
              <w:t>35.1%</w:t>
            </w:r>
          </w:p>
        </w:tc>
        <w:tc>
          <w:tcPr>
            <w:tcW w:w="920" w:type="dxa"/>
            <w:noWrap/>
            <w:hideMark/>
          </w:tcPr>
          <w:p w:rsidR="002A3E93" w:rsidRPr="00F525E0" w:rsidRDefault="002A3E93" w:rsidP="002A3E93">
            <w:pPr>
              <w:pStyle w:val="Brdtext"/>
              <w:rPr>
                <w:b/>
                <w:highlight w:val="green"/>
              </w:rPr>
            </w:pPr>
            <w:r w:rsidRPr="00F525E0">
              <w:rPr>
                <w:b/>
                <w:highlight w:val="green"/>
              </w:rPr>
              <w:t>85.2</w:t>
            </w: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Pr="00AF04BE" w:rsidRDefault="002A3E93" w:rsidP="002A3E93">
            <w:pPr>
              <w:pStyle w:val="Brdtext"/>
              <w:rPr>
                <w:highlight w:val="green"/>
              </w:rPr>
            </w:pPr>
            <w:r w:rsidRPr="00AF04BE">
              <w:rPr>
                <w:highlight w:val="green"/>
              </w:rPr>
              <w:t>100</w:t>
            </w:r>
          </w:p>
          <w:p w:rsidR="002A3E93" w:rsidRPr="00AF04BE" w:rsidRDefault="002A3E93" w:rsidP="002A3E93">
            <w:pPr>
              <w:pStyle w:val="Brdtext"/>
              <w:rPr>
                <w:highlight w:val="green"/>
              </w:rPr>
            </w:pPr>
          </w:p>
          <w:p w:rsidR="002A3E93" w:rsidRDefault="002A3E93" w:rsidP="002A3E93">
            <w:pPr>
              <w:pStyle w:val="Brdtext"/>
            </w:pPr>
            <w:r w:rsidRPr="00AF04BE">
              <w:rPr>
                <w:highlight w:val="green"/>
              </w:rPr>
              <w:t>100</w:t>
            </w:r>
          </w:p>
          <w:p w:rsidR="00F525E0" w:rsidRDefault="00F525E0" w:rsidP="002A3E93">
            <w:pPr>
              <w:pStyle w:val="Brdtext"/>
            </w:pPr>
          </w:p>
          <w:p w:rsidR="002A3E93" w:rsidRPr="00F525E0" w:rsidRDefault="002A3E93" w:rsidP="002A3E93">
            <w:pPr>
              <w:pStyle w:val="Brdtext"/>
              <w:rPr>
                <w:highlight w:val="red"/>
              </w:rPr>
            </w:pPr>
            <w:r w:rsidRPr="00F525E0">
              <w:rPr>
                <w:highlight w:val="red"/>
              </w:rPr>
              <w:t>33.3</w:t>
            </w:r>
          </w:p>
          <w:p w:rsidR="002A3E93" w:rsidRPr="00F525E0" w:rsidRDefault="002A3E93" w:rsidP="002A3E93">
            <w:pPr>
              <w:pStyle w:val="Brdtext"/>
              <w:rPr>
                <w:highlight w:val="red"/>
              </w:rPr>
            </w:pPr>
          </w:p>
          <w:p w:rsidR="00F525E0" w:rsidRPr="00F525E0" w:rsidRDefault="002A3E93" w:rsidP="002A3E93">
            <w:pPr>
              <w:pStyle w:val="Brdtext"/>
            </w:pPr>
            <w:r w:rsidRPr="00F525E0">
              <w:rPr>
                <w:highlight w:val="red"/>
              </w:rPr>
              <w:t>33.3</w:t>
            </w:r>
          </w:p>
          <w:p w:rsidR="00437B07" w:rsidRPr="00F525E0" w:rsidRDefault="00437B07" w:rsidP="002A3E93">
            <w:pPr>
              <w:pStyle w:val="Brdtext"/>
              <w:rPr>
                <w:sz w:val="16"/>
                <w:szCs w:val="16"/>
              </w:rPr>
            </w:pPr>
          </w:p>
          <w:p w:rsidR="002A3E93" w:rsidRDefault="002A3E93" w:rsidP="002A3E93">
            <w:pPr>
              <w:pStyle w:val="Brdtext"/>
              <w:rPr>
                <w:highlight w:val="green"/>
              </w:rPr>
            </w:pPr>
            <w:r w:rsidRPr="00AF04BE">
              <w:rPr>
                <w:highlight w:val="green"/>
              </w:rPr>
              <w:t>100</w:t>
            </w:r>
          </w:p>
          <w:p w:rsidR="00437B07" w:rsidRDefault="00437B07" w:rsidP="002A3E93">
            <w:pPr>
              <w:pStyle w:val="Brdtext"/>
              <w:rPr>
                <w:highlight w:val="green"/>
              </w:rPr>
            </w:pPr>
          </w:p>
          <w:p w:rsidR="002A3E93" w:rsidRPr="00737175" w:rsidRDefault="002A3E93" w:rsidP="002A3E93">
            <w:pPr>
              <w:pStyle w:val="Brdtext"/>
            </w:pPr>
            <w:r w:rsidRPr="00AF04BE">
              <w:rPr>
                <w:highlight w:val="green"/>
              </w:rPr>
              <w:t>100</w:t>
            </w:r>
          </w:p>
        </w:tc>
        <w:tc>
          <w:tcPr>
            <w:tcW w:w="1871" w:type="dxa"/>
            <w:noWrap/>
          </w:tcPr>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F525E0" w:rsidRDefault="00F525E0" w:rsidP="002A3E93">
            <w:pPr>
              <w:pStyle w:val="Brdtext"/>
              <w:rPr>
                <w:lang w:val="en-US"/>
              </w:rPr>
            </w:pPr>
          </w:p>
          <w:p w:rsidR="002A3E93" w:rsidRPr="00737175" w:rsidRDefault="002A3E93" w:rsidP="002A3E93">
            <w:pPr>
              <w:pStyle w:val="Brdtext"/>
              <w:rPr>
                <w:lang w:val="en-US"/>
              </w:rPr>
            </w:pPr>
            <w:r w:rsidRPr="00737175">
              <w:rPr>
                <w:lang w:val="en-US"/>
              </w:rPr>
              <w:t>Evidence not provided</w:t>
            </w:r>
          </w:p>
          <w:p w:rsidR="002A3E93" w:rsidRPr="00737175" w:rsidRDefault="002A3E93" w:rsidP="002A3E93">
            <w:pPr>
              <w:pStyle w:val="Brdtext"/>
              <w:rPr>
                <w:lang w:val="en-US"/>
              </w:rPr>
            </w:pPr>
            <w:r w:rsidRPr="00737175">
              <w:rPr>
                <w:lang w:val="en-US"/>
              </w:rPr>
              <w:t>Evidence not provided</w:t>
            </w:r>
          </w:p>
          <w:p w:rsidR="002A3E93" w:rsidRPr="00737175" w:rsidRDefault="002A3E93" w:rsidP="002A3E93">
            <w:pPr>
              <w:pStyle w:val="Brdtext"/>
              <w:rPr>
                <w:lang w:val="en-US"/>
              </w:rPr>
            </w:pPr>
          </w:p>
        </w:tc>
      </w:tr>
    </w:tbl>
    <w:p w:rsidR="00324325" w:rsidRPr="00737175" w:rsidRDefault="00324325" w:rsidP="00324325">
      <w:pPr>
        <w:pStyle w:val="Brdtext"/>
        <w:rPr>
          <w:lang w:val="en-US"/>
        </w:rPr>
      </w:pPr>
    </w:p>
    <w:p w:rsidR="003F77BA" w:rsidRPr="003F77BA" w:rsidRDefault="004E58C5" w:rsidP="003F77BA">
      <w:pPr>
        <w:pStyle w:val="Brdtext"/>
      </w:pPr>
      <w:r>
        <w:t xml:space="preserve">KTH står sig väl inom samtliga indikatorer. Möjlighet till </w:t>
      </w:r>
      <w:r w:rsidR="00F9631D">
        <w:t>förbättring</w:t>
      </w:r>
      <w:r>
        <w:t xml:space="preserve"> är att satsa ytterligare på konst och kulturarv, där </w:t>
      </w:r>
      <w:r w:rsidR="0085185B">
        <w:t>KTH presterar förvånansvärt väl. R</w:t>
      </w:r>
      <w:r>
        <w:t xml:space="preserve">esultatet förklaras till stor del </w:t>
      </w:r>
      <w:r w:rsidR="0085185B">
        <w:t>av</w:t>
      </w:r>
      <w:r>
        <w:t xml:space="preserve"> att </w:t>
      </w:r>
      <w:r w:rsidR="00D003BB">
        <w:t>bibliotek</w:t>
      </w:r>
      <w:r>
        <w:t xml:space="preserve">, </w:t>
      </w:r>
      <w:r w:rsidR="00D003BB">
        <w:t>arrangemang</w:t>
      </w:r>
      <w:r>
        <w:t>, utställningar, musik etc. är</w:t>
      </w:r>
      <w:r w:rsidR="0085185B">
        <w:t xml:space="preserve"> fritt</w:t>
      </w:r>
      <w:r>
        <w:t xml:space="preserve"> tillgängliga för allmänheten. </w:t>
      </w:r>
      <w:r w:rsidR="003F77BA" w:rsidRPr="003F77BA">
        <w:t>En policy krävs för att få full poäng inom d</w:t>
      </w:r>
      <w:r w:rsidR="003F77BA">
        <w:t xml:space="preserve">e indikatorer som efterfrågar en policy. </w:t>
      </w:r>
    </w:p>
    <w:p w:rsidR="008037A9" w:rsidRDefault="008037A9" w:rsidP="00324325">
      <w:pPr>
        <w:pStyle w:val="Brdtext"/>
      </w:pPr>
    </w:p>
    <w:p w:rsidR="00156524" w:rsidRDefault="00156524" w:rsidP="00324325">
      <w:pPr>
        <w:pStyle w:val="Brdtext"/>
      </w:pPr>
    </w:p>
    <w:p w:rsidR="00324325" w:rsidRPr="00156524" w:rsidRDefault="00324325" w:rsidP="000C272F">
      <w:pPr>
        <w:pStyle w:val="Rubrik3"/>
        <w:rPr>
          <w:lang w:val="en-US"/>
        </w:rPr>
      </w:pPr>
      <w:bookmarkStart w:id="13" w:name="_Toc52351580"/>
      <w:r w:rsidRPr="00156524">
        <w:rPr>
          <w:lang w:val="en-US"/>
        </w:rPr>
        <w:lastRenderedPageBreak/>
        <w:t>SDG 12</w:t>
      </w:r>
      <w:r w:rsidR="00AF18C7" w:rsidRPr="00156524">
        <w:rPr>
          <w:lang w:val="en-US"/>
        </w:rPr>
        <w:t xml:space="preserve"> Responsible Consumption and Production</w:t>
      </w:r>
      <w:bookmarkEnd w:id="13"/>
    </w:p>
    <w:tbl>
      <w:tblPr>
        <w:tblStyle w:val="Tabellrutnt"/>
        <w:tblW w:w="0" w:type="auto"/>
        <w:tblLook w:val="04A0" w:firstRow="1" w:lastRow="0" w:firstColumn="1" w:lastColumn="0" w:noHBand="0" w:noVBand="1"/>
      </w:tblPr>
      <w:tblGrid>
        <w:gridCol w:w="3909"/>
        <w:gridCol w:w="1723"/>
        <w:gridCol w:w="920"/>
        <w:gridCol w:w="1871"/>
      </w:tblGrid>
      <w:tr w:rsidR="002A3E93" w:rsidRPr="00324325" w:rsidTr="0007415D">
        <w:trPr>
          <w:trHeight w:val="315"/>
        </w:trPr>
        <w:tc>
          <w:tcPr>
            <w:tcW w:w="3909" w:type="dxa"/>
            <w:noWrap/>
          </w:tcPr>
          <w:p w:rsidR="002A3E93" w:rsidRPr="001A24C6" w:rsidRDefault="002A3E93" w:rsidP="002A3E93">
            <w:pPr>
              <w:pStyle w:val="Brdtext"/>
              <w:rPr>
                <w:b/>
                <w:lang w:val="en-US"/>
              </w:rPr>
            </w:pPr>
            <w:proofErr w:type="spellStart"/>
            <w:r w:rsidRPr="001A24C6">
              <w:rPr>
                <w:b/>
                <w:lang w:val="en-US"/>
              </w:rPr>
              <w:t>Indikator</w:t>
            </w:r>
            <w:proofErr w:type="spellEnd"/>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71"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07415D">
        <w:trPr>
          <w:trHeight w:val="315"/>
        </w:trPr>
        <w:tc>
          <w:tcPr>
            <w:tcW w:w="3909" w:type="dxa"/>
            <w:noWrap/>
            <w:hideMark/>
          </w:tcPr>
          <w:p w:rsidR="002A3E93" w:rsidRPr="00E5088B" w:rsidRDefault="002A3E93" w:rsidP="002A3E93">
            <w:pPr>
              <w:pStyle w:val="Brdtext"/>
              <w:rPr>
                <w:b/>
                <w:highlight w:val="green"/>
                <w:lang w:val="en-US"/>
              </w:rPr>
            </w:pPr>
            <w:r w:rsidRPr="00E5088B">
              <w:rPr>
                <w:b/>
                <w:highlight w:val="green"/>
                <w:lang w:val="en-US"/>
              </w:rPr>
              <w:t>Research on responsible consumption and production</w:t>
            </w:r>
          </w:p>
          <w:p w:rsidR="002A3E93" w:rsidRPr="0003172E" w:rsidRDefault="002A3E93" w:rsidP="002A3E93">
            <w:pPr>
              <w:pStyle w:val="Brdtext"/>
              <w:rPr>
                <w:highlight w:val="yellow"/>
                <w:lang w:val="en-US"/>
              </w:rPr>
            </w:pPr>
            <w:r w:rsidRPr="0003172E">
              <w:rPr>
                <w:highlight w:val="yellow"/>
                <w:lang w:val="en-US"/>
              </w:rPr>
              <w:t xml:space="preserve">Proportion of papers in the top 10 per cent of journals as defined by </w:t>
            </w:r>
            <w:proofErr w:type="spellStart"/>
            <w:r w:rsidRPr="0003172E">
              <w:rPr>
                <w:highlight w:val="yellow"/>
                <w:lang w:val="en-US"/>
              </w:rPr>
              <w:t>Citescore</w:t>
            </w:r>
            <w:proofErr w:type="spellEnd"/>
            <w:r w:rsidRPr="0003172E">
              <w:rPr>
                <w:highlight w:val="yellow"/>
                <w:lang w:val="en-US"/>
              </w:rPr>
              <w:t xml:space="preserve"> (10%)</w:t>
            </w:r>
          </w:p>
          <w:p w:rsidR="002A3E93" w:rsidRPr="00E5088B" w:rsidRDefault="002A3E93" w:rsidP="002A3E93">
            <w:pPr>
              <w:pStyle w:val="Brdtext"/>
              <w:rPr>
                <w:highlight w:val="green"/>
                <w:lang w:val="en-US"/>
              </w:rPr>
            </w:pPr>
            <w:r w:rsidRPr="00E5088B">
              <w:rPr>
                <w:highlight w:val="green"/>
                <w:lang w:val="en-US"/>
              </w:rPr>
              <w:t>Field-weighted citation index of papers produced by the university (10%)</w:t>
            </w:r>
          </w:p>
          <w:p w:rsidR="002A3E93" w:rsidRPr="008726EC" w:rsidRDefault="002A3E93" w:rsidP="002A3E93">
            <w:pPr>
              <w:pStyle w:val="Brdtext"/>
              <w:rPr>
                <w:highlight w:val="green"/>
                <w:lang w:val="en-US"/>
              </w:rPr>
            </w:pPr>
            <w:r w:rsidRPr="00E5088B">
              <w:rPr>
                <w:highlight w:val="green"/>
                <w:lang w:val="en-US"/>
              </w:rPr>
              <w:t>Number of publications (7%)</w:t>
            </w:r>
          </w:p>
        </w:tc>
        <w:tc>
          <w:tcPr>
            <w:tcW w:w="1723" w:type="dxa"/>
            <w:noWrap/>
            <w:hideMark/>
          </w:tcPr>
          <w:p w:rsidR="002A3E93" w:rsidRPr="007841A3" w:rsidRDefault="002A3E93" w:rsidP="002A3E93">
            <w:pPr>
              <w:pStyle w:val="Brdtext"/>
              <w:rPr>
                <w:b/>
                <w:highlight w:val="green"/>
              </w:rPr>
            </w:pPr>
            <w:r w:rsidRPr="007841A3">
              <w:rPr>
                <w:b/>
                <w:highlight w:val="green"/>
              </w:rPr>
              <w:t>27%</w:t>
            </w:r>
          </w:p>
        </w:tc>
        <w:tc>
          <w:tcPr>
            <w:tcW w:w="920" w:type="dxa"/>
            <w:noWrap/>
            <w:hideMark/>
          </w:tcPr>
          <w:p w:rsidR="002A3E93" w:rsidRPr="007841A3" w:rsidRDefault="002A3E93" w:rsidP="002A3E93">
            <w:pPr>
              <w:pStyle w:val="Brdtext"/>
              <w:rPr>
                <w:b/>
                <w:highlight w:val="green"/>
              </w:rPr>
            </w:pPr>
            <w:r w:rsidRPr="007841A3">
              <w:rPr>
                <w:b/>
                <w:highlight w:val="green"/>
              </w:rPr>
              <w:t>89.6</w:t>
            </w:r>
          </w:p>
          <w:p w:rsidR="002A3E93" w:rsidRDefault="002A3E93" w:rsidP="002A3E93">
            <w:pPr>
              <w:pStyle w:val="Brdtext"/>
              <w:rPr>
                <w:highlight w:val="green"/>
              </w:rPr>
            </w:pPr>
          </w:p>
          <w:p w:rsidR="002A3E93" w:rsidRPr="002F6269" w:rsidRDefault="002A3E93" w:rsidP="002A3E93">
            <w:pPr>
              <w:pStyle w:val="Brdtext"/>
            </w:pPr>
            <w:r w:rsidRPr="00437B07">
              <w:rPr>
                <w:highlight w:val="yellow"/>
              </w:rPr>
              <w:t>72.9</w:t>
            </w:r>
          </w:p>
          <w:p w:rsidR="002A3E93" w:rsidRPr="002F6269" w:rsidRDefault="002A3E93" w:rsidP="002A3E93">
            <w:pPr>
              <w:pStyle w:val="Brdtext"/>
            </w:pPr>
          </w:p>
          <w:p w:rsidR="002A3E93" w:rsidRPr="00AF04BE" w:rsidRDefault="002A3E93" w:rsidP="002A3E93">
            <w:pPr>
              <w:pStyle w:val="Brdtext"/>
              <w:rPr>
                <w:highlight w:val="green"/>
              </w:rPr>
            </w:pPr>
            <w:r w:rsidRPr="00AF04BE">
              <w:rPr>
                <w:highlight w:val="green"/>
              </w:rPr>
              <w:t>99.1</w:t>
            </w:r>
          </w:p>
          <w:p w:rsidR="002A3E93" w:rsidRPr="00AF04BE" w:rsidRDefault="002A3E93" w:rsidP="002A3E93">
            <w:pPr>
              <w:pStyle w:val="Brdtext"/>
              <w:rPr>
                <w:highlight w:val="green"/>
              </w:rPr>
            </w:pPr>
          </w:p>
          <w:p w:rsidR="002A3E93" w:rsidRPr="008726EC" w:rsidRDefault="002A3E93" w:rsidP="002A3E93">
            <w:pPr>
              <w:pStyle w:val="Brdtext"/>
              <w:rPr>
                <w:highlight w:val="green"/>
              </w:rPr>
            </w:pPr>
            <w:r w:rsidRPr="00AF04BE">
              <w:rPr>
                <w:highlight w:val="green"/>
              </w:rPr>
              <w:t>99.9</w:t>
            </w:r>
          </w:p>
        </w:tc>
        <w:tc>
          <w:tcPr>
            <w:tcW w:w="1871" w:type="dxa"/>
            <w:noWrap/>
            <w:hideMark/>
          </w:tcPr>
          <w:p w:rsidR="002A3E93" w:rsidRPr="007841A3" w:rsidRDefault="002A3E93" w:rsidP="002A3E93">
            <w:pPr>
              <w:pStyle w:val="Brdtext"/>
              <w:rPr>
                <w:b/>
              </w:rPr>
            </w:pPr>
            <w:r w:rsidRPr="007841A3">
              <w:rPr>
                <w:b/>
              </w:rPr>
              <w:t>=13</w:t>
            </w:r>
          </w:p>
        </w:tc>
      </w:tr>
      <w:tr w:rsidR="002A3E93" w:rsidRPr="00324325" w:rsidTr="00703701">
        <w:trPr>
          <w:trHeight w:val="315"/>
        </w:trPr>
        <w:tc>
          <w:tcPr>
            <w:tcW w:w="3909" w:type="dxa"/>
            <w:noWrap/>
            <w:hideMark/>
          </w:tcPr>
          <w:p w:rsidR="002A3E93" w:rsidRPr="00187448" w:rsidRDefault="002A3E93" w:rsidP="002A3E93">
            <w:pPr>
              <w:pStyle w:val="Brdtext"/>
              <w:rPr>
                <w:b/>
                <w:highlight w:val="green"/>
                <w:lang w:val="en-US"/>
              </w:rPr>
            </w:pPr>
            <w:r w:rsidRPr="00187448">
              <w:rPr>
                <w:b/>
                <w:highlight w:val="green"/>
                <w:lang w:val="en-US"/>
              </w:rPr>
              <w:t>Operational measures</w:t>
            </w:r>
          </w:p>
          <w:p w:rsidR="002A3E93" w:rsidRPr="00E5088B" w:rsidRDefault="002A3E93" w:rsidP="002A3E93">
            <w:pPr>
              <w:pStyle w:val="Brdtext"/>
              <w:rPr>
                <w:highlight w:val="green"/>
                <w:lang w:val="en-US"/>
              </w:rPr>
            </w:pPr>
            <w:r w:rsidRPr="00E5088B">
              <w:rPr>
                <w:highlight w:val="green"/>
                <w:lang w:val="en-US"/>
              </w:rPr>
              <w:t>Policy on ethical sourcing of food and supplies (4.8%)</w:t>
            </w:r>
          </w:p>
          <w:p w:rsidR="002A3E93" w:rsidRPr="00E5088B" w:rsidRDefault="002A3E93" w:rsidP="002A3E93">
            <w:pPr>
              <w:pStyle w:val="Brdtext"/>
              <w:rPr>
                <w:highlight w:val="green"/>
                <w:lang w:val="en-US"/>
              </w:rPr>
            </w:pPr>
            <w:r w:rsidRPr="00E5088B">
              <w:rPr>
                <w:highlight w:val="green"/>
                <w:lang w:val="en-US"/>
              </w:rPr>
              <w:t>Policy on the appropriate disposal of hazardous waste (4.8%)</w:t>
            </w:r>
          </w:p>
          <w:p w:rsidR="002A3E93" w:rsidRPr="00E5088B" w:rsidRDefault="002A3E93" w:rsidP="002A3E93">
            <w:pPr>
              <w:pStyle w:val="Brdtext"/>
              <w:rPr>
                <w:highlight w:val="green"/>
                <w:lang w:val="en-US"/>
              </w:rPr>
            </w:pPr>
            <w:r w:rsidRPr="00E5088B">
              <w:rPr>
                <w:highlight w:val="green"/>
                <w:lang w:val="en-US"/>
              </w:rPr>
              <w:t>Policy to measure amount of waste sent to landfill and amount recycled (4.8%)</w:t>
            </w:r>
          </w:p>
          <w:p w:rsidR="002A3E93" w:rsidRPr="0003172E" w:rsidRDefault="002A3E93" w:rsidP="002A3E93">
            <w:pPr>
              <w:pStyle w:val="Brdtext"/>
              <w:rPr>
                <w:highlight w:val="yellow"/>
                <w:lang w:val="en-US"/>
              </w:rPr>
            </w:pPr>
            <w:r w:rsidRPr="0003172E">
              <w:rPr>
                <w:highlight w:val="yellow"/>
                <w:lang w:val="en-US"/>
              </w:rPr>
              <w:t xml:space="preserve">Policy on </w:t>
            </w:r>
            <w:proofErr w:type="spellStart"/>
            <w:r w:rsidRPr="0003172E">
              <w:rPr>
                <w:highlight w:val="yellow"/>
                <w:lang w:val="en-US"/>
              </w:rPr>
              <w:t>minimising</w:t>
            </w:r>
            <w:proofErr w:type="spellEnd"/>
            <w:r w:rsidRPr="0003172E">
              <w:rPr>
                <w:highlight w:val="yellow"/>
                <w:lang w:val="en-US"/>
              </w:rPr>
              <w:t xml:space="preserve"> the use of plastic (4.8%)</w:t>
            </w:r>
          </w:p>
          <w:p w:rsidR="002A3E93" w:rsidRPr="00E5088B" w:rsidRDefault="002A3E93" w:rsidP="002A3E93">
            <w:pPr>
              <w:pStyle w:val="Brdtext"/>
              <w:rPr>
                <w:highlight w:val="green"/>
                <w:lang w:val="en-US"/>
              </w:rPr>
            </w:pPr>
            <w:r w:rsidRPr="00E5088B">
              <w:rPr>
                <w:highlight w:val="green"/>
                <w:lang w:val="en-US"/>
              </w:rPr>
              <w:t xml:space="preserve">Policy on </w:t>
            </w:r>
            <w:proofErr w:type="spellStart"/>
            <w:r w:rsidRPr="00E5088B">
              <w:rPr>
                <w:highlight w:val="green"/>
                <w:lang w:val="en-US"/>
              </w:rPr>
              <w:t>minimising</w:t>
            </w:r>
            <w:proofErr w:type="spellEnd"/>
            <w:r w:rsidRPr="00E5088B">
              <w:rPr>
                <w:highlight w:val="green"/>
                <w:lang w:val="en-US"/>
              </w:rPr>
              <w:t xml:space="preserve"> the use of disposable items (4.8%)</w:t>
            </w:r>
          </w:p>
          <w:p w:rsidR="002A3E93" w:rsidRPr="00E5088B" w:rsidRDefault="002A3E93" w:rsidP="002A3E93">
            <w:pPr>
              <w:pStyle w:val="Brdtext"/>
              <w:rPr>
                <w:highlight w:val="green"/>
                <w:lang w:val="en-US"/>
              </w:rPr>
            </w:pPr>
            <w:r w:rsidRPr="00E5088B">
              <w:rPr>
                <w:highlight w:val="green"/>
                <w:lang w:val="en-US"/>
              </w:rPr>
              <w:t>Evidence that these policies also apply to outsourced services (1.35%)</w:t>
            </w:r>
          </w:p>
          <w:p w:rsidR="002A3E93" w:rsidRPr="00E5088B" w:rsidRDefault="002A3E93" w:rsidP="002A3E93">
            <w:pPr>
              <w:pStyle w:val="Brdtext"/>
              <w:rPr>
                <w:b/>
                <w:highlight w:val="green"/>
                <w:lang w:val="en-US"/>
              </w:rPr>
            </w:pPr>
            <w:r w:rsidRPr="00E5088B">
              <w:rPr>
                <w:highlight w:val="green"/>
                <w:lang w:val="en-US"/>
              </w:rPr>
              <w:t>Evidence that these policies also apply to outsourced suppliers (1.35%)</w:t>
            </w:r>
          </w:p>
        </w:tc>
        <w:tc>
          <w:tcPr>
            <w:tcW w:w="1723" w:type="dxa"/>
            <w:noWrap/>
            <w:hideMark/>
          </w:tcPr>
          <w:p w:rsidR="002A3E93" w:rsidRPr="007841A3" w:rsidRDefault="002A3E93" w:rsidP="002A3E93">
            <w:pPr>
              <w:pStyle w:val="Brdtext"/>
              <w:rPr>
                <w:b/>
                <w:highlight w:val="green"/>
              </w:rPr>
            </w:pPr>
            <w:r w:rsidRPr="007841A3">
              <w:rPr>
                <w:b/>
                <w:highlight w:val="green"/>
              </w:rPr>
              <w:t>26.7%</w:t>
            </w:r>
          </w:p>
        </w:tc>
        <w:tc>
          <w:tcPr>
            <w:tcW w:w="920" w:type="dxa"/>
            <w:noWrap/>
            <w:hideMark/>
          </w:tcPr>
          <w:p w:rsidR="002A3E93" w:rsidRPr="007841A3" w:rsidRDefault="002A3E93" w:rsidP="002A3E93">
            <w:pPr>
              <w:pStyle w:val="Brdtext"/>
              <w:rPr>
                <w:b/>
                <w:highlight w:val="green"/>
              </w:rPr>
            </w:pPr>
            <w:r w:rsidRPr="007841A3">
              <w:rPr>
                <w:b/>
                <w:highlight w:val="green"/>
              </w:rPr>
              <w:t>86.5</w:t>
            </w:r>
          </w:p>
          <w:p w:rsidR="002A3E93" w:rsidRPr="00AF04BE" w:rsidRDefault="002A3E93" w:rsidP="002A3E93">
            <w:pPr>
              <w:pStyle w:val="Brdtext"/>
              <w:rPr>
                <w:highlight w:val="green"/>
              </w:rPr>
            </w:pPr>
            <w:r w:rsidRPr="00AF04BE">
              <w:rPr>
                <w:highlight w:val="green"/>
              </w:rPr>
              <w:t>87.5</w:t>
            </w:r>
          </w:p>
          <w:p w:rsidR="002A3E93" w:rsidRPr="00AF04BE" w:rsidRDefault="002A3E93" w:rsidP="002A3E93">
            <w:pPr>
              <w:pStyle w:val="Brdtext"/>
              <w:rPr>
                <w:highlight w:val="green"/>
              </w:rPr>
            </w:pPr>
          </w:p>
          <w:p w:rsidR="002A3E93" w:rsidRPr="00AF04BE" w:rsidRDefault="002A3E93" w:rsidP="002A3E93">
            <w:pPr>
              <w:pStyle w:val="Brdtext"/>
              <w:rPr>
                <w:highlight w:val="green"/>
              </w:rPr>
            </w:pPr>
            <w:r w:rsidRPr="00AF04BE">
              <w:rPr>
                <w:highlight w:val="green"/>
              </w:rPr>
              <w:t>100</w:t>
            </w:r>
          </w:p>
          <w:p w:rsidR="002A3E93" w:rsidRPr="002F6269" w:rsidRDefault="002A3E93" w:rsidP="002A3E93">
            <w:pPr>
              <w:pStyle w:val="Brdtext"/>
            </w:pPr>
            <w:r w:rsidRPr="00AF04BE">
              <w:rPr>
                <w:highlight w:val="green"/>
              </w:rPr>
              <w:t>100</w:t>
            </w:r>
          </w:p>
          <w:p w:rsidR="002A3E93" w:rsidRDefault="002A3E93" w:rsidP="002A3E93">
            <w:pPr>
              <w:pStyle w:val="Brdtext"/>
            </w:pPr>
          </w:p>
          <w:p w:rsidR="002A3E93" w:rsidRDefault="002A3E93" w:rsidP="002A3E93">
            <w:pPr>
              <w:pStyle w:val="Brdtext"/>
            </w:pPr>
            <w:r w:rsidRPr="00437B07">
              <w:rPr>
                <w:highlight w:val="yellow"/>
              </w:rPr>
              <w:t>50</w:t>
            </w:r>
          </w:p>
          <w:p w:rsidR="002A3E93" w:rsidRDefault="002A3E93" w:rsidP="002A3E93">
            <w:pPr>
              <w:pStyle w:val="Brdtext"/>
            </w:pPr>
          </w:p>
          <w:p w:rsidR="002A3E93" w:rsidRPr="00AF04BE" w:rsidRDefault="002A3E93" w:rsidP="002A3E93">
            <w:pPr>
              <w:pStyle w:val="Brdtext"/>
              <w:rPr>
                <w:highlight w:val="green"/>
              </w:rPr>
            </w:pPr>
            <w:r w:rsidRPr="00AF04BE">
              <w:rPr>
                <w:highlight w:val="green"/>
              </w:rPr>
              <w:t>87.</w:t>
            </w:r>
            <w:r w:rsidR="00F525E0">
              <w:rPr>
                <w:highlight w:val="green"/>
              </w:rPr>
              <w:t>5</w:t>
            </w:r>
          </w:p>
          <w:p w:rsidR="002A3E93" w:rsidRPr="00AF04BE" w:rsidRDefault="002A3E93" w:rsidP="002A3E93">
            <w:pPr>
              <w:pStyle w:val="Brdtext"/>
              <w:rPr>
                <w:highlight w:val="green"/>
              </w:rPr>
            </w:pPr>
            <w:r w:rsidRPr="00AF04BE">
              <w:rPr>
                <w:highlight w:val="green"/>
              </w:rPr>
              <w:t>100</w:t>
            </w:r>
          </w:p>
          <w:p w:rsidR="00F525E0" w:rsidRDefault="00F525E0" w:rsidP="002A3E93">
            <w:pPr>
              <w:pStyle w:val="Brdtext"/>
              <w:rPr>
                <w:highlight w:val="green"/>
              </w:rPr>
            </w:pPr>
          </w:p>
          <w:p w:rsidR="002A3E93" w:rsidRPr="002F6269" w:rsidRDefault="002A3E93" w:rsidP="002A3E93">
            <w:pPr>
              <w:pStyle w:val="Brdtext"/>
            </w:pPr>
            <w:r w:rsidRPr="00AF04BE">
              <w:rPr>
                <w:highlight w:val="green"/>
              </w:rPr>
              <w:t>100</w:t>
            </w:r>
          </w:p>
        </w:tc>
        <w:tc>
          <w:tcPr>
            <w:tcW w:w="1871" w:type="dxa"/>
            <w:noWrap/>
          </w:tcPr>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Pr="00324325" w:rsidRDefault="002A3E93" w:rsidP="002A3E93">
            <w:pPr>
              <w:pStyle w:val="Brdtext"/>
            </w:pPr>
            <w:proofErr w:type="spellStart"/>
            <w:r>
              <w:t>Evidence</w:t>
            </w:r>
            <w:proofErr w:type="spellEnd"/>
            <w:r>
              <w:t xml:space="preserve"> not </w:t>
            </w:r>
            <w:proofErr w:type="spellStart"/>
            <w:r>
              <w:t>provided</w:t>
            </w:r>
            <w:proofErr w:type="spellEnd"/>
          </w:p>
        </w:tc>
      </w:tr>
      <w:tr w:rsidR="002A3E93" w:rsidRPr="00324325" w:rsidTr="00703701">
        <w:trPr>
          <w:trHeight w:val="315"/>
        </w:trPr>
        <w:tc>
          <w:tcPr>
            <w:tcW w:w="3909" w:type="dxa"/>
            <w:noWrap/>
            <w:hideMark/>
          </w:tcPr>
          <w:p w:rsidR="002A3E93" w:rsidRDefault="002A3E93" w:rsidP="002A3E93">
            <w:pPr>
              <w:pStyle w:val="Brdtext"/>
              <w:rPr>
                <w:b/>
                <w:lang w:val="en-US"/>
              </w:rPr>
            </w:pPr>
            <w:r w:rsidRPr="00E5088B">
              <w:rPr>
                <w:b/>
                <w:highlight w:val="yellow"/>
                <w:lang w:val="en-US"/>
              </w:rPr>
              <w:t>Proportion of recycled waste</w:t>
            </w:r>
          </w:p>
          <w:p w:rsidR="002A3E93" w:rsidRPr="00E5088B" w:rsidRDefault="002A3E93" w:rsidP="002A3E93">
            <w:pPr>
              <w:pStyle w:val="Brdtext"/>
              <w:rPr>
                <w:highlight w:val="yellow"/>
                <w:lang w:val="en-US"/>
              </w:rPr>
            </w:pPr>
            <w:r w:rsidRPr="00E5088B">
              <w:rPr>
                <w:highlight w:val="yellow"/>
                <w:lang w:val="en-US"/>
              </w:rPr>
              <w:t>Proportion of waste that is recycled (13.5%)</w:t>
            </w:r>
          </w:p>
          <w:p w:rsidR="002A3E93" w:rsidRPr="00E5088B" w:rsidRDefault="002A3E93" w:rsidP="002A3E93">
            <w:pPr>
              <w:pStyle w:val="Brdtext"/>
              <w:rPr>
                <w:highlight w:val="yellow"/>
                <w:lang w:val="en-US"/>
              </w:rPr>
            </w:pPr>
            <w:r w:rsidRPr="0003172E">
              <w:rPr>
                <w:highlight w:val="red"/>
                <w:lang w:val="en-US"/>
              </w:rPr>
              <w:t xml:space="preserve">Proportion of waste that </w:t>
            </w:r>
            <w:proofErr w:type="gramStart"/>
            <w:r w:rsidRPr="0003172E">
              <w:rPr>
                <w:highlight w:val="red"/>
                <w:lang w:val="en-US"/>
              </w:rPr>
              <w:t>is not sent</w:t>
            </w:r>
            <w:proofErr w:type="gramEnd"/>
            <w:r w:rsidRPr="0003172E">
              <w:rPr>
                <w:highlight w:val="red"/>
                <w:lang w:val="en-US"/>
              </w:rPr>
              <w:t xml:space="preserve"> to landfill (13.5%)</w:t>
            </w:r>
          </w:p>
        </w:tc>
        <w:tc>
          <w:tcPr>
            <w:tcW w:w="1723" w:type="dxa"/>
            <w:noWrap/>
            <w:hideMark/>
          </w:tcPr>
          <w:p w:rsidR="002A3E93" w:rsidRPr="007841A3" w:rsidRDefault="002A3E93" w:rsidP="002A3E93">
            <w:pPr>
              <w:pStyle w:val="Brdtext"/>
              <w:rPr>
                <w:b/>
                <w:highlight w:val="yellow"/>
              </w:rPr>
            </w:pPr>
            <w:r w:rsidRPr="007841A3">
              <w:rPr>
                <w:b/>
                <w:highlight w:val="yellow"/>
              </w:rPr>
              <w:t>27%</w:t>
            </w:r>
          </w:p>
        </w:tc>
        <w:tc>
          <w:tcPr>
            <w:tcW w:w="920" w:type="dxa"/>
            <w:noWrap/>
            <w:hideMark/>
          </w:tcPr>
          <w:p w:rsidR="002A3E93" w:rsidRPr="007841A3" w:rsidRDefault="002A3E93" w:rsidP="002A3E93">
            <w:pPr>
              <w:pStyle w:val="Brdtext"/>
              <w:rPr>
                <w:b/>
                <w:highlight w:val="yellow"/>
              </w:rPr>
            </w:pPr>
            <w:r w:rsidRPr="007841A3">
              <w:rPr>
                <w:b/>
                <w:highlight w:val="yellow"/>
              </w:rPr>
              <w:t>70.4</w:t>
            </w:r>
          </w:p>
          <w:p w:rsidR="002A3E93" w:rsidRDefault="002A3E93" w:rsidP="002A3E93">
            <w:pPr>
              <w:pStyle w:val="Brdtext"/>
              <w:rPr>
                <w:highlight w:val="yellow"/>
              </w:rPr>
            </w:pPr>
            <w:r>
              <w:rPr>
                <w:highlight w:val="yellow"/>
              </w:rPr>
              <w:t>70.4</w:t>
            </w:r>
          </w:p>
          <w:p w:rsidR="002A3E93" w:rsidRDefault="002A3E93" w:rsidP="002A3E93">
            <w:pPr>
              <w:pStyle w:val="Brdtext"/>
              <w:rPr>
                <w:highlight w:val="yellow"/>
              </w:rPr>
            </w:pPr>
          </w:p>
          <w:p w:rsidR="002A3E93" w:rsidRPr="008726EC" w:rsidRDefault="002A3E93" w:rsidP="002A3E93">
            <w:pPr>
              <w:pStyle w:val="Brdtext"/>
              <w:rPr>
                <w:highlight w:val="yellow"/>
              </w:rPr>
            </w:pPr>
            <w:r w:rsidRPr="00F525E0">
              <w:rPr>
                <w:highlight w:val="red"/>
              </w:rPr>
              <w:t>NA</w:t>
            </w:r>
          </w:p>
        </w:tc>
        <w:tc>
          <w:tcPr>
            <w:tcW w:w="1871" w:type="dxa"/>
            <w:noWrap/>
          </w:tcPr>
          <w:p w:rsidR="002A3E93" w:rsidRPr="00324325" w:rsidRDefault="002A3E93" w:rsidP="002A3E93">
            <w:pPr>
              <w:pStyle w:val="Brdtext"/>
            </w:pPr>
          </w:p>
        </w:tc>
      </w:tr>
      <w:tr w:rsidR="002A3E93" w:rsidRPr="00324325" w:rsidTr="00703701">
        <w:trPr>
          <w:trHeight w:val="315"/>
        </w:trPr>
        <w:tc>
          <w:tcPr>
            <w:tcW w:w="3909" w:type="dxa"/>
            <w:noWrap/>
            <w:hideMark/>
          </w:tcPr>
          <w:p w:rsidR="002A3E93" w:rsidRPr="00E5088B" w:rsidRDefault="002A3E93" w:rsidP="002A3E93">
            <w:pPr>
              <w:pStyle w:val="Brdtext"/>
              <w:rPr>
                <w:b/>
                <w:highlight w:val="green"/>
                <w:lang w:val="en-US"/>
              </w:rPr>
            </w:pPr>
            <w:r w:rsidRPr="00E5088B">
              <w:rPr>
                <w:b/>
                <w:highlight w:val="green"/>
                <w:lang w:val="en-US"/>
              </w:rPr>
              <w:t xml:space="preserve">Publication of a sustainability report </w:t>
            </w:r>
          </w:p>
        </w:tc>
        <w:tc>
          <w:tcPr>
            <w:tcW w:w="1723" w:type="dxa"/>
            <w:noWrap/>
            <w:hideMark/>
          </w:tcPr>
          <w:p w:rsidR="002A3E93" w:rsidRPr="008726EC" w:rsidRDefault="002A3E93" w:rsidP="002A3E93">
            <w:pPr>
              <w:pStyle w:val="Brdtext"/>
              <w:rPr>
                <w:highlight w:val="green"/>
              </w:rPr>
            </w:pPr>
            <w:r w:rsidRPr="008726EC">
              <w:rPr>
                <w:highlight w:val="green"/>
              </w:rPr>
              <w:t>19.3</w:t>
            </w:r>
          </w:p>
        </w:tc>
        <w:tc>
          <w:tcPr>
            <w:tcW w:w="920" w:type="dxa"/>
            <w:noWrap/>
            <w:hideMark/>
          </w:tcPr>
          <w:p w:rsidR="002A3E93" w:rsidRPr="008726EC" w:rsidRDefault="002A3E93" w:rsidP="002A3E93">
            <w:pPr>
              <w:pStyle w:val="Brdtext"/>
              <w:rPr>
                <w:highlight w:val="green"/>
              </w:rPr>
            </w:pPr>
            <w:r w:rsidRPr="008726EC">
              <w:rPr>
                <w:highlight w:val="green"/>
              </w:rPr>
              <w:t>100</w:t>
            </w:r>
          </w:p>
        </w:tc>
        <w:tc>
          <w:tcPr>
            <w:tcW w:w="1871" w:type="dxa"/>
            <w:noWrap/>
          </w:tcPr>
          <w:p w:rsidR="002A3E93" w:rsidRPr="00324325" w:rsidRDefault="002A3E93" w:rsidP="002A3E93">
            <w:pPr>
              <w:pStyle w:val="Brdtext"/>
            </w:pPr>
          </w:p>
        </w:tc>
      </w:tr>
    </w:tbl>
    <w:p w:rsidR="00D912D1" w:rsidRDefault="00D912D1" w:rsidP="00324325">
      <w:pPr>
        <w:pStyle w:val="Brdtext"/>
        <w:rPr>
          <w:sz w:val="20"/>
        </w:rPr>
      </w:pPr>
    </w:p>
    <w:p w:rsidR="00156524" w:rsidRDefault="004E58C5" w:rsidP="00324325">
      <w:pPr>
        <w:pStyle w:val="Brdtext"/>
      </w:pPr>
      <w:r>
        <w:t xml:space="preserve">KTH presterar mycket bra </w:t>
      </w:r>
      <w:r w:rsidR="007D7CCC">
        <w:t>inom samtliga indikatorer. B</w:t>
      </w:r>
      <w:r w:rsidR="006555B8">
        <w:t>äst</w:t>
      </w:r>
      <w:r>
        <w:t xml:space="preserve"> </w:t>
      </w:r>
      <w:r w:rsidR="006555B8">
        <w:t>möjlighet</w:t>
      </w:r>
      <w:r>
        <w:t xml:space="preserve"> till förbättring ligger i att öka andelen återvunnet avfall. </w:t>
      </w:r>
      <w:r w:rsidR="00224535">
        <w:t xml:space="preserve">Möjligen skulle underlaget som behandlar </w:t>
      </w:r>
      <w:r w:rsidR="0085185B">
        <w:t>operativa åtgärder</w:t>
      </w:r>
      <w:r w:rsidR="00224535">
        <w:t xml:space="preserve"> förbättras</w:t>
      </w:r>
      <w:r w:rsidR="0085185B">
        <w:t xml:space="preserve"> inför nästa inrapportering</w:t>
      </w:r>
      <w:r w:rsidR="00553E50">
        <w:t>,</w:t>
      </w:r>
      <w:r w:rsidR="00553E50" w:rsidRPr="00553E50">
        <w:t xml:space="preserve"> </w:t>
      </w:r>
      <w:r w:rsidR="00553E50">
        <w:t xml:space="preserve">då THE betonar vikten av att presentera </w:t>
      </w:r>
      <w:r w:rsidR="00B52CF8">
        <w:t xml:space="preserve">bra </w:t>
      </w:r>
      <w:r w:rsidR="00553E50">
        <w:t xml:space="preserve">”best </w:t>
      </w:r>
      <w:proofErr w:type="spellStart"/>
      <w:r w:rsidR="00553E50">
        <w:t>practices</w:t>
      </w:r>
      <w:proofErr w:type="spellEnd"/>
      <w:r w:rsidR="00553E50">
        <w:t>”</w:t>
      </w:r>
      <w:r w:rsidR="00224535">
        <w:t xml:space="preserve">. </w:t>
      </w:r>
    </w:p>
    <w:p w:rsidR="0085185B" w:rsidRPr="0085185B" w:rsidRDefault="0085185B" w:rsidP="00324325">
      <w:pPr>
        <w:pStyle w:val="Brdtext"/>
      </w:pPr>
    </w:p>
    <w:p w:rsidR="00324325" w:rsidRPr="00285443" w:rsidRDefault="00324325" w:rsidP="000C272F">
      <w:pPr>
        <w:pStyle w:val="Rubrik3"/>
      </w:pPr>
      <w:bookmarkStart w:id="14" w:name="_Toc52351581"/>
      <w:r w:rsidRPr="00285443">
        <w:t>SDG 13</w:t>
      </w:r>
      <w:r w:rsidR="00AF18C7" w:rsidRPr="00285443">
        <w:t xml:space="preserve"> </w:t>
      </w:r>
      <w:proofErr w:type="spellStart"/>
      <w:r w:rsidR="00AF18C7" w:rsidRPr="00285443">
        <w:t>Climate</w:t>
      </w:r>
      <w:proofErr w:type="spellEnd"/>
      <w:r w:rsidR="00AF18C7" w:rsidRPr="00285443">
        <w:t xml:space="preserve"> Action</w:t>
      </w:r>
      <w:bookmarkEnd w:id="14"/>
    </w:p>
    <w:tbl>
      <w:tblPr>
        <w:tblStyle w:val="Tabellrutnt"/>
        <w:tblW w:w="0" w:type="auto"/>
        <w:tblLook w:val="04A0" w:firstRow="1" w:lastRow="0" w:firstColumn="1" w:lastColumn="0" w:noHBand="0" w:noVBand="1"/>
      </w:tblPr>
      <w:tblGrid>
        <w:gridCol w:w="3909"/>
        <w:gridCol w:w="1723"/>
        <w:gridCol w:w="920"/>
        <w:gridCol w:w="1871"/>
      </w:tblGrid>
      <w:tr w:rsidR="002A3E93" w:rsidRPr="00324325" w:rsidTr="00703701">
        <w:trPr>
          <w:trHeight w:val="315"/>
        </w:trPr>
        <w:tc>
          <w:tcPr>
            <w:tcW w:w="3909" w:type="dxa"/>
            <w:noWrap/>
          </w:tcPr>
          <w:p w:rsidR="002A3E93" w:rsidRPr="007D7CCC" w:rsidRDefault="002A3E93" w:rsidP="002A3E93">
            <w:pPr>
              <w:pStyle w:val="Brdtext"/>
              <w:rPr>
                <w:b/>
              </w:rPr>
            </w:pPr>
            <w:r w:rsidRPr="007D7CCC">
              <w:rPr>
                <w:b/>
              </w:rPr>
              <w:t>Indikator</w:t>
            </w:r>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71"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703701">
        <w:trPr>
          <w:trHeight w:val="315"/>
        </w:trPr>
        <w:tc>
          <w:tcPr>
            <w:tcW w:w="3909" w:type="dxa"/>
            <w:noWrap/>
            <w:hideMark/>
          </w:tcPr>
          <w:p w:rsidR="002A3E93" w:rsidRPr="004338BF" w:rsidRDefault="002A3E93" w:rsidP="002A3E93">
            <w:pPr>
              <w:pStyle w:val="Brdtext"/>
              <w:rPr>
                <w:b/>
                <w:lang w:val="en-US"/>
              </w:rPr>
            </w:pPr>
            <w:r w:rsidRPr="004338BF">
              <w:rPr>
                <w:b/>
                <w:highlight w:val="yellow"/>
                <w:lang w:val="en-US"/>
              </w:rPr>
              <w:t>Research on climate action</w:t>
            </w:r>
          </w:p>
          <w:p w:rsidR="002A3E93" w:rsidRPr="004338BF" w:rsidRDefault="002A3E93" w:rsidP="002A3E93">
            <w:pPr>
              <w:pStyle w:val="Brdtext"/>
              <w:rPr>
                <w:highlight w:val="yellow"/>
                <w:lang w:val="en-US"/>
              </w:rPr>
            </w:pPr>
            <w:r w:rsidRPr="004338BF">
              <w:rPr>
                <w:highlight w:val="yellow"/>
                <w:lang w:val="en-US"/>
              </w:rPr>
              <w:t xml:space="preserve">Proportion of papers in the top 10 per cent of journals as defined by </w:t>
            </w:r>
            <w:proofErr w:type="spellStart"/>
            <w:r w:rsidRPr="004338BF">
              <w:rPr>
                <w:highlight w:val="yellow"/>
                <w:lang w:val="en-US"/>
              </w:rPr>
              <w:t>Citescore</w:t>
            </w:r>
            <w:proofErr w:type="spellEnd"/>
            <w:r w:rsidRPr="004338BF">
              <w:rPr>
                <w:highlight w:val="yellow"/>
                <w:lang w:val="en-US"/>
              </w:rPr>
              <w:t xml:space="preserve"> (10%)</w:t>
            </w:r>
          </w:p>
          <w:p w:rsidR="002A3E93" w:rsidRPr="004338BF" w:rsidRDefault="002A3E93" w:rsidP="002A3E93">
            <w:pPr>
              <w:pStyle w:val="Brdtext"/>
              <w:rPr>
                <w:highlight w:val="yellow"/>
                <w:lang w:val="en-US"/>
              </w:rPr>
            </w:pPr>
            <w:r w:rsidRPr="004338BF">
              <w:rPr>
                <w:highlight w:val="yellow"/>
                <w:lang w:val="en-US"/>
              </w:rPr>
              <w:t>Field-weighted citation index of papers produced by the university (10%)</w:t>
            </w:r>
          </w:p>
          <w:p w:rsidR="002A3E93" w:rsidRPr="008726EC" w:rsidRDefault="002A3E93" w:rsidP="002A3E93">
            <w:pPr>
              <w:pStyle w:val="Brdtext"/>
              <w:rPr>
                <w:highlight w:val="yellow"/>
              </w:rPr>
            </w:pPr>
            <w:proofErr w:type="spellStart"/>
            <w:r w:rsidRPr="0003172E">
              <w:rPr>
                <w:highlight w:val="green"/>
              </w:rPr>
              <w:t>Number</w:t>
            </w:r>
            <w:proofErr w:type="spellEnd"/>
            <w:r w:rsidRPr="0003172E">
              <w:rPr>
                <w:highlight w:val="green"/>
              </w:rPr>
              <w:t xml:space="preserve"> of </w:t>
            </w:r>
            <w:proofErr w:type="spellStart"/>
            <w:r w:rsidRPr="0003172E">
              <w:rPr>
                <w:highlight w:val="green"/>
              </w:rPr>
              <w:t>publications</w:t>
            </w:r>
            <w:proofErr w:type="spellEnd"/>
            <w:r w:rsidRPr="0003172E">
              <w:rPr>
                <w:highlight w:val="green"/>
              </w:rPr>
              <w:t xml:space="preserve"> (7%)</w:t>
            </w:r>
          </w:p>
        </w:tc>
        <w:tc>
          <w:tcPr>
            <w:tcW w:w="1723" w:type="dxa"/>
            <w:noWrap/>
            <w:hideMark/>
          </w:tcPr>
          <w:p w:rsidR="002A3E93" w:rsidRPr="007841A3" w:rsidRDefault="002A3E93" w:rsidP="002A3E93">
            <w:pPr>
              <w:pStyle w:val="Brdtext"/>
              <w:rPr>
                <w:b/>
                <w:highlight w:val="yellow"/>
              </w:rPr>
            </w:pPr>
            <w:r w:rsidRPr="007841A3">
              <w:rPr>
                <w:b/>
                <w:highlight w:val="yellow"/>
              </w:rPr>
              <w:t>27%</w:t>
            </w:r>
          </w:p>
        </w:tc>
        <w:tc>
          <w:tcPr>
            <w:tcW w:w="920" w:type="dxa"/>
            <w:noWrap/>
            <w:hideMark/>
          </w:tcPr>
          <w:p w:rsidR="002A3E93" w:rsidRPr="007841A3" w:rsidRDefault="002A3E93" w:rsidP="002A3E93">
            <w:pPr>
              <w:pStyle w:val="Brdtext"/>
              <w:rPr>
                <w:b/>
                <w:highlight w:val="yellow"/>
              </w:rPr>
            </w:pPr>
            <w:r w:rsidRPr="007841A3">
              <w:rPr>
                <w:b/>
                <w:highlight w:val="yellow"/>
              </w:rPr>
              <w:t>78.6</w:t>
            </w:r>
          </w:p>
          <w:p w:rsidR="002A3E93" w:rsidRDefault="002A3E93" w:rsidP="002A3E93">
            <w:pPr>
              <w:pStyle w:val="Brdtext"/>
              <w:rPr>
                <w:highlight w:val="yellow"/>
              </w:rPr>
            </w:pPr>
            <w:r>
              <w:rPr>
                <w:highlight w:val="yellow"/>
              </w:rPr>
              <w:t>66.6</w:t>
            </w:r>
          </w:p>
          <w:p w:rsidR="002A3E93" w:rsidRDefault="002A3E93" w:rsidP="002A3E93">
            <w:pPr>
              <w:pStyle w:val="Brdtext"/>
              <w:rPr>
                <w:highlight w:val="yellow"/>
              </w:rPr>
            </w:pPr>
          </w:p>
          <w:p w:rsidR="002A3E93" w:rsidRDefault="002A3E93" w:rsidP="002A3E93">
            <w:pPr>
              <w:pStyle w:val="Brdtext"/>
              <w:rPr>
                <w:highlight w:val="yellow"/>
              </w:rPr>
            </w:pPr>
            <w:r>
              <w:rPr>
                <w:highlight w:val="yellow"/>
              </w:rPr>
              <w:t>76.5</w:t>
            </w:r>
          </w:p>
          <w:p w:rsidR="002A3E93" w:rsidRDefault="002A3E93" w:rsidP="002A3E93">
            <w:pPr>
              <w:pStyle w:val="Brdtext"/>
              <w:rPr>
                <w:highlight w:val="yellow"/>
              </w:rPr>
            </w:pPr>
          </w:p>
          <w:p w:rsidR="002A3E93" w:rsidRPr="008726EC" w:rsidRDefault="002A3E93" w:rsidP="002A3E93">
            <w:pPr>
              <w:pStyle w:val="Brdtext"/>
              <w:rPr>
                <w:highlight w:val="yellow"/>
              </w:rPr>
            </w:pPr>
            <w:r w:rsidRPr="00AF04BE">
              <w:rPr>
                <w:highlight w:val="green"/>
              </w:rPr>
              <w:t>98.7</w:t>
            </w:r>
          </w:p>
        </w:tc>
        <w:tc>
          <w:tcPr>
            <w:tcW w:w="1871" w:type="dxa"/>
            <w:noWrap/>
            <w:hideMark/>
          </w:tcPr>
          <w:p w:rsidR="002A3E93" w:rsidRPr="007841A3" w:rsidRDefault="002A3E93" w:rsidP="002A3E93">
            <w:pPr>
              <w:pStyle w:val="Brdtext"/>
              <w:rPr>
                <w:b/>
              </w:rPr>
            </w:pPr>
            <w:r w:rsidRPr="007841A3">
              <w:rPr>
                <w:b/>
              </w:rPr>
              <w:t>51</w:t>
            </w:r>
          </w:p>
        </w:tc>
      </w:tr>
      <w:tr w:rsidR="002A3E93" w:rsidRPr="00324325" w:rsidTr="00703701">
        <w:trPr>
          <w:trHeight w:val="315"/>
        </w:trPr>
        <w:tc>
          <w:tcPr>
            <w:tcW w:w="3909" w:type="dxa"/>
            <w:noWrap/>
            <w:hideMark/>
          </w:tcPr>
          <w:p w:rsidR="002A3E93" w:rsidRPr="007841A3" w:rsidRDefault="002A3E93" w:rsidP="002A3E93">
            <w:pPr>
              <w:pStyle w:val="Brdtext"/>
              <w:rPr>
                <w:b/>
                <w:highlight w:val="green"/>
              </w:rPr>
            </w:pPr>
            <w:proofErr w:type="spellStart"/>
            <w:r w:rsidRPr="007841A3">
              <w:rPr>
                <w:b/>
                <w:highlight w:val="green"/>
              </w:rPr>
              <w:t>Low-carbon</w:t>
            </w:r>
            <w:proofErr w:type="spellEnd"/>
            <w:r w:rsidRPr="007841A3">
              <w:rPr>
                <w:b/>
                <w:highlight w:val="green"/>
              </w:rPr>
              <w:t xml:space="preserve"> </w:t>
            </w:r>
            <w:proofErr w:type="spellStart"/>
            <w:r w:rsidRPr="007841A3">
              <w:rPr>
                <w:b/>
                <w:highlight w:val="green"/>
              </w:rPr>
              <w:t>energy</w:t>
            </w:r>
            <w:proofErr w:type="spellEnd"/>
            <w:r w:rsidRPr="007841A3">
              <w:rPr>
                <w:b/>
                <w:highlight w:val="green"/>
              </w:rPr>
              <w:t xml:space="preserve"> </w:t>
            </w:r>
            <w:proofErr w:type="spellStart"/>
            <w:r w:rsidRPr="007841A3">
              <w:rPr>
                <w:b/>
                <w:highlight w:val="green"/>
              </w:rPr>
              <w:t>use</w:t>
            </w:r>
            <w:proofErr w:type="spellEnd"/>
          </w:p>
        </w:tc>
        <w:tc>
          <w:tcPr>
            <w:tcW w:w="1723" w:type="dxa"/>
            <w:noWrap/>
            <w:hideMark/>
          </w:tcPr>
          <w:p w:rsidR="002A3E93" w:rsidRPr="007841A3" w:rsidRDefault="002A3E93" w:rsidP="002A3E93">
            <w:pPr>
              <w:pStyle w:val="Brdtext"/>
              <w:rPr>
                <w:b/>
                <w:highlight w:val="green"/>
              </w:rPr>
            </w:pPr>
            <w:r w:rsidRPr="007841A3">
              <w:rPr>
                <w:b/>
                <w:highlight w:val="green"/>
              </w:rPr>
              <w:t>27%</w:t>
            </w:r>
          </w:p>
        </w:tc>
        <w:tc>
          <w:tcPr>
            <w:tcW w:w="920" w:type="dxa"/>
            <w:noWrap/>
            <w:hideMark/>
          </w:tcPr>
          <w:p w:rsidR="002A3E93" w:rsidRPr="007841A3" w:rsidRDefault="002A3E93" w:rsidP="002A3E93">
            <w:pPr>
              <w:pStyle w:val="Brdtext"/>
              <w:rPr>
                <w:b/>
                <w:highlight w:val="green"/>
              </w:rPr>
            </w:pPr>
            <w:r w:rsidRPr="007841A3">
              <w:rPr>
                <w:b/>
                <w:highlight w:val="green"/>
              </w:rPr>
              <w:t>93</w:t>
            </w:r>
          </w:p>
        </w:tc>
        <w:tc>
          <w:tcPr>
            <w:tcW w:w="1871" w:type="dxa"/>
            <w:noWrap/>
          </w:tcPr>
          <w:p w:rsidR="002A3E93" w:rsidRPr="00324325" w:rsidRDefault="002A3E93" w:rsidP="002A3E93">
            <w:pPr>
              <w:pStyle w:val="Brdtext"/>
            </w:pPr>
          </w:p>
        </w:tc>
      </w:tr>
      <w:tr w:rsidR="002A3E93" w:rsidRPr="00324325" w:rsidTr="00703701">
        <w:trPr>
          <w:trHeight w:val="945"/>
        </w:trPr>
        <w:tc>
          <w:tcPr>
            <w:tcW w:w="3909" w:type="dxa"/>
            <w:noWrap/>
            <w:hideMark/>
          </w:tcPr>
          <w:p w:rsidR="002A3E93" w:rsidRPr="004338BF" w:rsidRDefault="002A3E93" w:rsidP="002A3E93">
            <w:pPr>
              <w:pStyle w:val="Brdtext"/>
              <w:rPr>
                <w:b/>
                <w:lang w:val="en-US"/>
              </w:rPr>
            </w:pPr>
            <w:r w:rsidRPr="004338BF">
              <w:rPr>
                <w:b/>
                <w:highlight w:val="yellow"/>
                <w:lang w:val="en-US"/>
              </w:rPr>
              <w:t>Environmental education measures</w:t>
            </w:r>
          </w:p>
          <w:p w:rsidR="002A3E93" w:rsidRPr="0003172E" w:rsidRDefault="002A3E93" w:rsidP="002A3E93">
            <w:pPr>
              <w:pStyle w:val="Brdtext"/>
              <w:rPr>
                <w:highlight w:val="red"/>
                <w:lang w:val="en-US"/>
              </w:rPr>
            </w:pPr>
            <w:r w:rsidRPr="0003172E">
              <w:rPr>
                <w:highlight w:val="red"/>
                <w:lang w:val="en-US"/>
              </w:rPr>
              <w:t xml:space="preserve">Local education </w:t>
            </w:r>
            <w:proofErr w:type="spellStart"/>
            <w:r w:rsidRPr="0003172E">
              <w:rPr>
                <w:highlight w:val="red"/>
                <w:lang w:val="en-US"/>
              </w:rPr>
              <w:t>programmes</w:t>
            </w:r>
            <w:proofErr w:type="spellEnd"/>
            <w:r w:rsidRPr="0003172E">
              <w:rPr>
                <w:highlight w:val="red"/>
                <w:lang w:val="en-US"/>
              </w:rPr>
              <w:t xml:space="preserve"> or campaigns on climate change (4.6%)</w:t>
            </w:r>
          </w:p>
          <w:p w:rsidR="002A3E93" w:rsidRPr="0003172E" w:rsidRDefault="002A3E93" w:rsidP="002A3E93">
            <w:pPr>
              <w:pStyle w:val="Brdtext"/>
              <w:rPr>
                <w:highlight w:val="red"/>
                <w:lang w:val="en-US"/>
              </w:rPr>
            </w:pPr>
            <w:r w:rsidRPr="0003172E">
              <w:rPr>
                <w:highlight w:val="red"/>
                <w:lang w:val="en-US"/>
              </w:rPr>
              <w:t xml:space="preserve">Existence of </w:t>
            </w:r>
            <w:proofErr w:type="gramStart"/>
            <w:r w:rsidRPr="0003172E">
              <w:rPr>
                <w:highlight w:val="red"/>
                <w:lang w:val="en-US"/>
              </w:rPr>
              <w:t>university climate action plan</w:t>
            </w:r>
            <w:proofErr w:type="gramEnd"/>
            <w:r w:rsidRPr="0003172E">
              <w:rPr>
                <w:highlight w:val="red"/>
                <w:lang w:val="en-US"/>
              </w:rPr>
              <w:t xml:space="preserve"> shared with local government and community groups (4.6%)</w:t>
            </w:r>
          </w:p>
          <w:p w:rsidR="002A3E93" w:rsidRPr="0003172E" w:rsidRDefault="002A3E93" w:rsidP="002A3E93">
            <w:pPr>
              <w:pStyle w:val="Brdtext"/>
              <w:rPr>
                <w:highlight w:val="green"/>
                <w:lang w:val="en-US"/>
              </w:rPr>
            </w:pPr>
            <w:r w:rsidRPr="0003172E">
              <w:rPr>
                <w:highlight w:val="green"/>
                <w:lang w:val="en-US"/>
              </w:rPr>
              <w:t>Working with local or national government to plan for climate change disasters (4.6%)</w:t>
            </w:r>
          </w:p>
          <w:p w:rsidR="002A3E93" w:rsidRPr="0003172E" w:rsidRDefault="002A3E93" w:rsidP="002A3E93">
            <w:pPr>
              <w:pStyle w:val="Brdtext"/>
              <w:rPr>
                <w:highlight w:val="green"/>
                <w:lang w:val="en-US"/>
              </w:rPr>
            </w:pPr>
            <w:r w:rsidRPr="0003172E">
              <w:rPr>
                <w:highlight w:val="green"/>
                <w:lang w:val="en-US"/>
              </w:rPr>
              <w:t>Inform and support local or regional government on issues associated with climate change (4.6%)</w:t>
            </w:r>
          </w:p>
          <w:p w:rsidR="00F525E0" w:rsidRDefault="00F525E0" w:rsidP="002A3E93">
            <w:pPr>
              <w:pStyle w:val="Brdtext"/>
              <w:rPr>
                <w:highlight w:val="yellow"/>
                <w:lang w:val="en-US"/>
              </w:rPr>
            </w:pPr>
          </w:p>
          <w:p w:rsidR="002A3E93" w:rsidRPr="004338BF" w:rsidRDefault="002A3E93" w:rsidP="002A3E93">
            <w:pPr>
              <w:pStyle w:val="Brdtext"/>
              <w:rPr>
                <w:highlight w:val="yellow"/>
                <w:lang w:val="en-US"/>
              </w:rPr>
            </w:pPr>
            <w:r w:rsidRPr="0003172E">
              <w:rPr>
                <w:highlight w:val="red"/>
                <w:lang w:val="en-US"/>
              </w:rPr>
              <w:t>Collaborate with NGOs on climate adaptation (4.6%)</w:t>
            </w:r>
          </w:p>
        </w:tc>
        <w:tc>
          <w:tcPr>
            <w:tcW w:w="1723" w:type="dxa"/>
            <w:noWrap/>
            <w:hideMark/>
          </w:tcPr>
          <w:p w:rsidR="002A3E93" w:rsidRPr="007841A3" w:rsidRDefault="002A3E93" w:rsidP="002A3E93">
            <w:pPr>
              <w:pStyle w:val="Brdtext"/>
              <w:rPr>
                <w:b/>
                <w:highlight w:val="yellow"/>
              </w:rPr>
            </w:pPr>
            <w:r w:rsidRPr="007841A3">
              <w:rPr>
                <w:b/>
                <w:highlight w:val="yellow"/>
              </w:rPr>
              <w:t>23%</w:t>
            </w:r>
          </w:p>
        </w:tc>
        <w:tc>
          <w:tcPr>
            <w:tcW w:w="920" w:type="dxa"/>
            <w:noWrap/>
            <w:hideMark/>
          </w:tcPr>
          <w:p w:rsidR="002A3E93" w:rsidRPr="007841A3" w:rsidRDefault="002A3E93" w:rsidP="002A3E93">
            <w:pPr>
              <w:pStyle w:val="Brdtext"/>
              <w:rPr>
                <w:b/>
                <w:highlight w:val="yellow"/>
              </w:rPr>
            </w:pPr>
            <w:r w:rsidRPr="007841A3">
              <w:rPr>
                <w:b/>
                <w:highlight w:val="yellow"/>
              </w:rPr>
              <w:t>46.6</w:t>
            </w:r>
          </w:p>
          <w:p w:rsidR="002A3E93" w:rsidRDefault="002A3E93" w:rsidP="002A3E93">
            <w:pPr>
              <w:pStyle w:val="Brdtext"/>
              <w:rPr>
                <w:highlight w:val="yellow"/>
              </w:rPr>
            </w:pPr>
          </w:p>
          <w:p w:rsidR="002A3E93" w:rsidRPr="00F525E0" w:rsidRDefault="002A3E93" w:rsidP="002A3E93">
            <w:pPr>
              <w:pStyle w:val="Brdtext"/>
              <w:rPr>
                <w:highlight w:val="red"/>
              </w:rPr>
            </w:pPr>
            <w:r w:rsidRPr="00F525E0">
              <w:rPr>
                <w:highlight w:val="red"/>
              </w:rPr>
              <w:t>33.3</w:t>
            </w:r>
          </w:p>
          <w:p w:rsidR="002A3E93" w:rsidRDefault="002A3E93" w:rsidP="002A3E93">
            <w:pPr>
              <w:pStyle w:val="Brdtext"/>
              <w:rPr>
                <w:highlight w:val="yellow"/>
              </w:rPr>
            </w:pPr>
          </w:p>
          <w:p w:rsidR="002A3E93" w:rsidRPr="00F525E0" w:rsidRDefault="002A3E93" w:rsidP="002A3E93">
            <w:pPr>
              <w:pStyle w:val="Brdtext"/>
              <w:rPr>
                <w:highlight w:val="red"/>
              </w:rPr>
            </w:pPr>
            <w:r w:rsidRPr="00F525E0">
              <w:rPr>
                <w:highlight w:val="red"/>
              </w:rPr>
              <w:t>33.3</w:t>
            </w:r>
          </w:p>
          <w:p w:rsidR="002A3E93" w:rsidRDefault="002A3E93" w:rsidP="002A3E93">
            <w:pPr>
              <w:pStyle w:val="Brdtext"/>
              <w:rPr>
                <w:highlight w:val="yellow"/>
              </w:rPr>
            </w:pPr>
          </w:p>
          <w:p w:rsidR="002A3E93" w:rsidRPr="0053219A" w:rsidRDefault="002A3E93" w:rsidP="002A3E93">
            <w:pPr>
              <w:pStyle w:val="Brdtext"/>
              <w:rPr>
                <w:highlight w:val="green"/>
              </w:rPr>
            </w:pPr>
            <w:r w:rsidRPr="0053219A">
              <w:rPr>
                <w:highlight w:val="green"/>
              </w:rPr>
              <w:t>100</w:t>
            </w:r>
          </w:p>
          <w:p w:rsidR="002A3E93" w:rsidRPr="0053219A" w:rsidRDefault="002A3E93" w:rsidP="002A3E93">
            <w:pPr>
              <w:pStyle w:val="Brdtext"/>
              <w:rPr>
                <w:highlight w:val="green"/>
              </w:rPr>
            </w:pPr>
          </w:p>
          <w:p w:rsidR="002A3E93" w:rsidRDefault="002A3E93" w:rsidP="002A3E93">
            <w:pPr>
              <w:pStyle w:val="Brdtext"/>
              <w:rPr>
                <w:highlight w:val="yellow"/>
              </w:rPr>
            </w:pPr>
            <w:r w:rsidRPr="0053219A">
              <w:rPr>
                <w:highlight w:val="green"/>
              </w:rPr>
              <w:t>100</w:t>
            </w:r>
          </w:p>
          <w:p w:rsidR="002A3E93" w:rsidRDefault="002A3E93" w:rsidP="002A3E93">
            <w:pPr>
              <w:pStyle w:val="Brdtext"/>
              <w:rPr>
                <w:highlight w:val="yellow"/>
              </w:rPr>
            </w:pPr>
          </w:p>
          <w:p w:rsidR="002A3E93" w:rsidRPr="008726EC" w:rsidRDefault="002A3E93" w:rsidP="002A3E93">
            <w:pPr>
              <w:pStyle w:val="Brdtext"/>
              <w:rPr>
                <w:highlight w:val="yellow"/>
              </w:rPr>
            </w:pPr>
            <w:r w:rsidRPr="00F525E0">
              <w:rPr>
                <w:highlight w:val="red"/>
              </w:rPr>
              <w:t>33.3</w:t>
            </w:r>
          </w:p>
        </w:tc>
        <w:tc>
          <w:tcPr>
            <w:tcW w:w="1871" w:type="dxa"/>
            <w:noWrap/>
          </w:tcPr>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CD5647" w:rsidRDefault="002A3E93" w:rsidP="002A3E93">
            <w:pPr>
              <w:pStyle w:val="Brdtext"/>
              <w:rPr>
                <w:lang w:val="en-US"/>
              </w:rPr>
            </w:pPr>
          </w:p>
          <w:p w:rsidR="002A3E93" w:rsidRPr="00324325" w:rsidRDefault="002A3E93" w:rsidP="002A3E93">
            <w:pPr>
              <w:pStyle w:val="Brdtext"/>
            </w:pPr>
            <w:proofErr w:type="spellStart"/>
            <w:r>
              <w:t>Evidence</w:t>
            </w:r>
            <w:proofErr w:type="spellEnd"/>
            <w:r>
              <w:t xml:space="preserve"> not </w:t>
            </w:r>
            <w:proofErr w:type="spellStart"/>
            <w:r>
              <w:t>provided</w:t>
            </w:r>
            <w:proofErr w:type="spellEnd"/>
          </w:p>
        </w:tc>
      </w:tr>
      <w:tr w:rsidR="002A3E93" w:rsidRPr="00324325" w:rsidTr="00703701">
        <w:trPr>
          <w:trHeight w:val="315"/>
        </w:trPr>
        <w:tc>
          <w:tcPr>
            <w:tcW w:w="3909" w:type="dxa"/>
            <w:noWrap/>
            <w:hideMark/>
          </w:tcPr>
          <w:p w:rsidR="002A3E93" w:rsidRPr="004338BF" w:rsidRDefault="002A3E93" w:rsidP="002A3E93">
            <w:pPr>
              <w:pStyle w:val="Brdtext"/>
              <w:rPr>
                <w:b/>
                <w:highlight w:val="red"/>
                <w:lang w:val="en-US"/>
              </w:rPr>
            </w:pPr>
            <w:r w:rsidRPr="004338BF">
              <w:rPr>
                <w:b/>
                <w:highlight w:val="red"/>
                <w:lang w:val="en-US"/>
              </w:rPr>
              <w:t>Commitment to carbon neutral university</w:t>
            </w:r>
          </w:p>
        </w:tc>
        <w:tc>
          <w:tcPr>
            <w:tcW w:w="1723" w:type="dxa"/>
            <w:noWrap/>
            <w:hideMark/>
          </w:tcPr>
          <w:p w:rsidR="002A3E93" w:rsidRPr="007841A3" w:rsidRDefault="002A3E93" w:rsidP="002A3E93">
            <w:pPr>
              <w:pStyle w:val="Brdtext"/>
              <w:rPr>
                <w:b/>
                <w:highlight w:val="red"/>
              </w:rPr>
            </w:pPr>
            <w:r w:rsidRPr="007841A3">
              <w:rPr>
                <w:b/>
                <w:highlight w:val="red"/>
              </w:rPr>
              <w:t>23%</w:t>
            </w:r>
          </w:p>
        </w:tc>
        <w:tc>
          <w:tcPr>
            <w:tcW w:w="920" w:type="dxa"/>
            <w:noWrap/>
            <w:hideMark/>
          </w:tcPr>
          <w:p w:rsidR="002A3E93" w:rsidRPr="007841A3" w:rsidRDefault="002A3E93" w:rsidP="002A3E93">
            <w:pPr>
              <w:pStyle w:val="Brdtext"/>
              <w:rPr>
                <w:b/>
                <w:highlight w:val="red"/>
              </w:rPr>
            </w:pPr>
            <w:r w:rsidRPr="007841A3">
              <w:rPr>
                <w:b/>
                <w:highlight w:val="red"/>
              </w:rPr>
              <w:t>16.7</w:t>
            </w:r>
          </w:p>
        </w:tc>
        <w:tc>
          <w:tcPr>
            <w:tcW w:w="1871" w:type="dxa"/>
            <w:noWrap/>
          </w:tcPr>
          <w:p w:rsidR="002A3E93" w:rsidRPr="00324325" w:rsidRDefault="002A3E93" w:rsidP="002A3E93">
            <w:pPr>
              <w:pStyle w:val="Brdtext"/>
            </w:pPr>
          </w:p>
        </w:tc>
      </w:tr>
    </w:tbl>
    <w:p w:rsidR="00324325" w:rsidRDefault="00324325" w:rsidP="00324325">
      <w:pPr>
        <w:pStyle w:val="Brdtext"/>
        <w:rPr>
          <w:sz w:val="20"/>
        </w:rPr>
      </w:pPr>
    </w:p>
    <w:p w:rsidR="0003172E" w:rsidRDefault="00224535" w:rsidP="00D003BB">
      <w:pPr>
        <w:pStyle w:val="Brdtext"/>
      </w:pPr>
      <w:r>
        <w:t xml:space="preserve">KTH </w:t>
      </w:r>
      <w:r w:rsidR="00451501">
        <w:t>presterar åter</w:t>
      </w:r>
      <w:r>
        <w:t xml:space="preserve"> mycket bra inom forskning samt har en låg användning av energi som härstammar från kol. </w:t>
      </w:r>
      <w:r w:rsidR="007D7CCC">
        <w:t>Anmärkningsvärt</w:t>
      </w:r>
      <w:r>
        <w:t xml:space="preserve"> svagt presterar vi </w:t>
      </w:r>
      <w:r w:rsidRPr="00D003BB">
        <w:t>inom</w:t>
      </w:r>
      <w:r>
        <w:t xml:space="preserve"> utbildningsinsatser, här </w:t>
      </w:r>
      <w:r w:rsidR="00D20E21">
        <w:t>är det rekommenderat att se över de texter</w:t>
      </w:r>
      <w:r>
        <w:t xml:space="preserve"> vi </w:t>
      </w:r>
      <w:r w:rsidR="00451501">
        <w:t>rapporterar</w:t>
      </w:r>
      <w:r>
        <w:t xml:space="preserve"> in inför nästa omg</w:t>
      </w:r>
      <w:r w:rsidR="00451501">
        <w:t xml:space="preserve">ång av rankningen, samt </w:t>
      </w:r>
      <w:r w:rsidR="0003172E">
        <w:t>dedikation</w:t>
      </w:r>
      <w:r>
        <w:t xml:space="preserve"> mot att vara ett kolneutralt universitet. Målsättningen att uppnå detta </w:t>
      </w:r>
      <w:r w:rsidR="00B52CF8">
        <w:t xml:space="preserve">år </w:t>
      </w:r>
      <w:r>
        <w:t>2045 imponerade inte på THE.</w:t>
      </w:r>
      <w:r w:rsidR="003F77BA">
        <w:t xml:space="preserve"> </w:t>
      </w:r>
    </w:p>
    <w:p w:rsidR="00224535" w:rsidRDefault="003F77BA" w:rsidP="00D003BB">
      <w:pPr>
        <w:pStyle w:val="Brdtext"/>
      </w:pPr>
      <w:r w:rsidRPr="003F77BA">
        <w:t>En policy krävs för att få full poäng inom d</w:t>
      </w:r>
      <w:r>
        <w:t xml:space="preserve">e indikatorer som efterfrågar en policy. </w:t>
      </w:r>
    </w:p>
    <w:p w:rsidR="00156524" w:rsidRDefault="00156524" w:rsidP="00324325">
      <w:pPr>
        <w:pStyle w:val="Brdtext"/>
        <w:rPr>
          <w:sz w:val="20"/>
        </w:rPr>
      </w:pPr>
    </w:p>
    <w:p w:rsidR="00324325" w:rsidRPr="00285443" w:rsidRDefault="00324325" w:rsidP="000C272F">
      <w:pPr>
        <w:pStyle w:val="Rubrik3"/>
      </w:pPr>
      <w:bookmarkStart w:id="15" w:name="_Toc52351582"/>
      <w:r w:rsidRPr="00285443">
        <w:t>SDG 15</w:t>
      </w:r>
      <w:r w:rsidR="00AF18C7" w:rsidRPr="00285443">
        <w:t xml:space="preserve"> Life on Land</w:t>
      </w:r>
      <w:bookmarkEnd w:id="15"/>
    </w:p>
    <w:tbl>
      <w:tblPr>
        <w:tblStyle w:val="Tabellrutnt"/>
        <w:tblW w:w="0" w:type="auto"/>
        <w:tblLook w:val="04A0" w:firstRow="1" w:lastRow="0" w:firstColumn="1" w:lastColumn="0" w:noHBand="0" w:noVBand="1"/>
      </w:tblPr>
      <w:tblGrid>
        <w:gridCol w:w="3909"/>
        <w:gridCol w:w="1723"/>
        <w:gridCol w:w="920"/>
        <w:gridCol w:w="1871"/>
      </w:tblGrid>
      <w:tr w:rsidR="002A3E93" w:rsidRPr="00324325" w:rsidTr="00703701">
        <w:trPr>
          <w:trHeight w:val="315"/>
        </w:trPr>
        <w:tc>
          <w:tcPr>
            <w:tcW w:w="3909" w:type="dxa"/>
            <w:noWrap/>
          </w:tcPr>
          <w:p w:rsidR="002A3E93" w:rsidRPr="001A24C6" w:rsidRDefault="002A3E93" w:rsidP="002A3E93">
            <w:pPr>
              <w:pStyle w:val="Brdtext"/>
              <w:rPr>
                <w:b/>
                <w:lang w:val="en-US"/>
              </w:rPr>
            </w:pPr>
            <w:proofErr w:type="spellStart"/>
            <w:r w:rsidRPr="001A24C6">
              <w:rPr>
                <w:b/>
                <w:lang w:val="en-US"/>
              </w:rPr>
              <w:t>Indikator</w:t>
            </w:r>
            <w:proofErr w:type="spellEnd"/>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71"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703701">
        <w:trPr>
          <w:trHeight w:val="315"/>
        </w:trPr>
        <w:tc>
          <w:tcPr>
            <w:tcW w:w="3909" w:type="dxa"/>
            <w:noWrap/>
            <w:hideMark/>
          </w:tcPr>
          <w:p w:rsidR="002A3E93" w:rsidRPr="00187448" w:rsidRDefault="002A3E93" w:rsidP="002A3E93">
            <w:pPr>
              <w:pStyle w:val="Brdtext"/>
              <w:rPr>
                <w:b/>
                <w:highlight w:val="yellow"/>
                <w:lang w:val="en-US"/>
              </w:rPr>
            </w:pPr>
            <w:r w:rsidRPr="00187448">
              <w:rPr>
                <w:b/>
                <w:highlight w:val="yellow"/>
                <w:lang w:val="en-US"/>
              </w:rPr>
              <w:t>Research on land ecosystems</w:t>
            </w:r>
          </w:p>
          <w:p w:rsidR="002A3E93" w:rsidRPr="004338BF" w:rsidRDefault="002A3E93" w:rsidP="002A3E93">
            <w:pPr>
              <w:pStyle w:val="Brdtext"/>
              <w:rPr>
                <w:highlight w:val="yellow"/>
                <w:lang w:val="en-US"/>
              </w:rPr>
            </w:pPr>
            <w:r w:rsidRPr="004338BF">
              <w:rPr>
                <w:highlight w:val="yellow"/>
                <w:lang w:val="en-US"/>
              </w:rPr>
              <w:t xml:space="preserve">Proportion of papers in the top 10 per cent of journals as defined by </w:t>
            </w:r>
            <w:proofErr w:type="spellStart"/>
            <w:r w:rsidRPr="004338BF">
              <w:rPr>
                <w:highlight w:val="yellow"/>
                <w:lang w:val="en-US"/>
              </w:rPr>
              <w:t>Citescore</w:t>
            </w:r>
            <w:proofErr w:type="spellEnd"/>
            <w:r w:rsidRPr="004338BF">
              <w:rPr>
                <w:highlight w:val="yellow"/>
                <w:lang w:val="en-US"/>
              </w:rPr>
              <w:t xml:space="preserve"> (10%)</w:t>
            </w:r>
          </w:p>
          <w:p w:rsidR="002A3E93" w:rsidRPr="004338BF" w:rsidRDefault="002A3E93" w:rsidP="002A3E93">
            <w:pPr>
              <w:pStyle w:val="Brdtext"/>
              <w:rPr>
                <w:highlight w:val="yellow"/>
                <w:lang w:val="en-US"/>
              </w:rPr>
            </w:pPr>
            <w:r w:rsidRPr="004338BF">
              <w:rPr>
                <w:highlight w:val="yellow"/>
                <w:lang w:val="en-US"/>
              </w:rPr>
              <w:t>Field-weighted citation index of papers produced by the university (10%)</w:t>
            </w:r>
          </w:p>
          <w:p w:rsidR="002A3E93" w:rsidRPr="008726EC" w:rsidRDefault="002A3E93" w:rsidP="002A3E93">
            <w:pPr>
              <w:pStyle w:val="Brdtext"/>
              <w:rPr>
                <w:highlight w:val="yellow"/>
              </w:rPr>
            </w:pPr>
            <w:proofErr w:type="spellStart"/>
            <w:r w:rsidRPr="00C23768">
              <w:rPr>
                <w:highlight w:val="green"/>
              </w:rPr>
              <w:t>Number</w:t>
            </w:r>
            <w:proofErr w:type="spellEnd"/>
            <w:r w:rsidRPr="00C23768">
              <w:rPr>
                <w:highlight w:val="green"/>
              </w:rPr>
              <w:t xml:space="preserve"> of </w:t>
            </w:r>
            <w:proofErr w:type="spellStart"/>
            <w:r w:rsidRPr="00C23768">
              <w:rPr>
                <w:highlight w:val="green"/>
              </w:rPr>
              <w:t>publications</w:t>
            </w:r>
            <w:proofErr w:type="spellEnd"/>
            <w:r w:rsidRPr="00C23768">
              <w:rPr>
                <w:highlight w:val="green"/>
              </w:rPr>
              <w:t xml:space="preserve"> (7%)</w:t>
            </w:r>
          </w:p>
        </w:tc>
        <w:tc>
          <w:tcPr>
            <w:tcW w:w="1723" w:type="dxa"/>
            <w:noWrap/>
            <w:hideMark/>
          </w:tcPr>
          <w:p w:rsidR="002A3E93" w:rsidRPr="007841A3" w:rsidRDefault="002A3E93" w:rsidP="002A3E93">
            <w:pPr>
              <w:pStyle w:val="Brdtext"/>
              <w:rPr>
                <w:b/>
                <w:highlight w:val="yellow"/>
              </w:rPr>
            </w:pPr>
            <w:r w:rsidRPr="007841A3">
              <w:rPr>
                <w:b/>
                <w:highlight w:val="yellow"/>
              </w:rPr>
              <w:t>27%</w:t>
            </w:r>
          </w:p>
        </w:tc>
        <w:tc>
          <w:tcPr>
            <w:tcW w:w="920" w:type="dxa"/>
            <w:noWrap/>
            <w:hideMark/>
          </w:tcPr>
          <w:p w:rsidR="002A3E93" w:rsidRPr="007841A3" w:rsidRDefault="002A3E93" w:rsidP="002A3E93">
            <w:pPr>
              <w:pStyle w:val="Brdtext"/>
              <w:rPr>
                <w:b/>
                <w:highlight w:val="yellow"/>
              </w:rPr>
            </w:pPr>
            <w:r w:rsidRPr="007841A3">
              <w:rPr>
                <w:b/>
                <w:highlight w:val="yellow"/>
              </w:rPr>
              <w:t>76.8</w:t>
            </w:r>
          </w:p>
          <w:p w:rsidR="002A3E93" w:rsidRPr="00437B07" w:rsidRDefault="002A3E93" w:rsidP="002A3E93">
            <w:pPr>
              <w:pStyle w:val="Brdtext"/>
              <w:rPr>
                <w:highlight w:val="yellow"/>
              </w:rPr>
            </w:pPr>
            <w:r w:rsidRPr="00437B07">
              <w:rPr>
                <w:highlight w:val="yellow"/>
              </w:rPr>
              <w:t>73.2</w:t>
            </w:r>
          </w:p>
          <w:p w:rsidR="002A3E93" w:rsidRPr="00437B07" w:rsidRDefault="002A3E93" w:rsidP="002A3E93">
            <w:pPr>
              <w:pStyle w:val="Brdtext"/>
              <w:rPr>
                <w:highlight w:val="yellow"/>
              </w:rPr>
            </w:pPr>
          </w:p>
          <w:p w:rsidR="002A3E93" w:rsidRPr="00471527" w:rsidRDefault="002A3E93" w:rsidP="002A3E93">
            <w:pPr>
              <w:pStyle w:val="Brdtext"/>
            </w:pPr>
            <w:r w:rsidRPr="00437B07">
              <w:rPr>
                <w:highlight w:val="yellow"/>
              </w:rPr>
              <w:t>68.2</w:t>
            </w:r>
          </w:p>
          <w:p w:rsidR="002A3E93" w:rsidRPr="00471527" w:rsidRDefault="002A3E93" w:rsidP="002A3E93">
            <w:pPr>
              <w:pStyle w:val="Brdtext"/>
            </w:pPr>
          </w:p>
          <w:p w:rsidR="002A3E93" w:rsidRPr="008726EC" w:rsidRDefault="002A3E93" w:rsidP="002A3E93">
            <w:pPr>
              <w:pStyle w:val="Brdtext"/>
              <w:rPr>
                <w:highlight w:val="yellow"/>
              </w:rPr>
            </w:pPr>
            <w:r w:rsidRPr="0053219A">
              <w:rPr>
                <w:highlight w:val="green"/>
              </w:rPr>
              <w:t>94.4</w:t>
            </w:r>
          </w:p>
        </w:tc>
        <w:tc>
          <w:tcPr>
            <w:tcW w:w="1871" w:type="dxa"/>
            <w:noWrap/>
            <w:hideMark/>
          </w:tcPr>
          <w:p w:rsidR="002A3E93" w:rsidRPr="007841A3" w:rsidRDefault="002A3E93" w:rsidP="002A3E93">
            <w:pPr>
              <w:pStyle w:val="Brdtext"/>
              <w:rPr>
                <w:b/>
              </w:rPr>
            </w:pPr>
            <w:r w:rsidRPr="007841A3">
              <w:rPr>
                <w:b/>
              </w:rPr>
              <w:t>75</w:t>
            </w:r>
          </w:p>
        </w:tc>
      </w:tr>
      <w:tr w:rsidR="002A3E93" w:rsidRPr="00DA2C92" w:rsidTr="00703701">
        <w:trPr>
          <w:trHeight w:val="315"/>
        </w:trPr>
        <w:tc>
          <w:tcPr>
            <w:tcW w:w="3909" w:type="dxa"/>
            <w:noWrap/>
            <w:hideMark/>
          </w:tcPr>
          <w:p w:rsidR="002A3E93" w:rsidRPr="0052483C" w:rsidRDefault="002A3E93" w:rsidP="002A3E93">
            <w:pPr>
              <w:pStyle w:val="Brdtext"/>
              <w:rPr>
                <w:b/>
                <w:lang w:val="en-US"/>
              </w:rPr>
            </w:pPr>
            <w:r w:rsidRPr="0052483C">
              <w:rPr>
                <w:b/>
                <w:highlight w:val="yellow"/>
                <w:lang w:val="en-US"/>
              </w:rPr>
              <w:t>Supporting land ecosystems through education</w:t>
            </w:r>
          </w:p>
          <w:p w:rsidR="002A3E93" w:rsidRPr="00C23768" w:rsidRDefault="002A3E93" w:rsidP="002A3E93">
            <w:pPr>
              <w:pStyle w:val="Brdtext"/>
              <w:rPr>
                <w:highlight w:val="red"/>
                <w:lang w:val="en-US"/>
              </w:rPr>
            </w:pPr>
            <w:r w:rsidRPr="00C23768">
              <w:rPr>
                <w:highlight w:val="red"/>
                <w:lang w:val="en-US"/>
              </w:rPr>
              <w:t xml:space="preserve">Support or </w:t>
            </w:r>
            <w:proofErr w:type="spellStart"/>
            <w:r w:rsidRPr="00C23768">
              <w:rPr>
                <w:highlight w:val="red"/>
                <w:lang w:val="en-US"/>
              </w:rPr>
              <w:t>organise</w:t>
            </w:r>
            <w:proofErr w:type="spellEnd"/>
            <w:r w:rsidRPr="00C23768">
              <w:rPr>
                <w:highlight w:val="red"/>
                <w:lang w:val="en-US"/>
              </w:rPr>
              <w:t xml:space="preserve"> events aimed to promote conservation and sustainable use of land (4.6%)</w:t>
            </w:r>
          </w:p>
          <w:p w:rsidR="002A3E93" w:rsidRDefault="002A3E93" w:rsidP="002A3E93">
            <w:pPr>
              <w:pStyle w:val="Brdtext"/>
              <w:rPr>
                <w:highlight w:val="yellow"/>
                <w:lang w:val="en-US"/>
              </w:rPr>
            </w:pPr>
            <w:r w:rsidRPr="0052483C">
              <w:rPr>
                <w:highlight w:val="yellow"/>
                <w:lang w:val="en-US"/>
              </w:rPr>
              <w:t>Policy to ensure that food on campus is sustainably farmed (4.6%)</w:t>
            </w:r>
          </w:p>
          <w:p w:rsidR="00F525E0" w:rsidRPr="0052483C" w:rsidRDefault="00F525E0" w:rsidP="002A3E93">
            <w:pPr>
              <w:pStyle w:val="Brdtext"/>
              <w:rPr>
                <w:highlight w:val="yellow"/>
                <w:lang w:val="en-US"/>
              </w:rPr>
            </w:pPr>
          </w:p>
          <w:p w:rsidR="002A3E93" w:rsidRPr="00C23768" w:rsidRDefault="002A3E93" w:rsidP="002A3E93">
            <w:pPr>
              <w:pStyle w:val="Brdtext"/>
              <w:rPr>
                <w:highlight w:val="green"/>
                <w:lang w:val="en-US"/>
              </w:rPr>
            </w:pPr>
            <w:r w:rsidRPr="00C23768">
              <w:rPr>
                <w:highlight w:val="green"/>
                <w:lang w:val="en-US"/>
              </w:rPr>
              <w:t>Maintain and extend existing ecosystems and their biodiversity (4.6%)</w:t>
            </w:r>
          </w:p>
          <w:p w:rsidR="002A3E93" w:rsidRPr="00C23768" w:rsidRDefault="002A3E93" w:rsidP="002A3E93">
            <w:pPr>
              <w:pStyle w:val="Brdtext"/>
              <w:rPr>
                <w:highlight w:val="red"/>
                <w:lang w:val="en-US"/>
              </w:rPr>
            </w:pPr>
            <w:r w:rsidRPr="00C23768">
              <w:rPr>
                <w:highlight w:val="red"/>
                <w:lang w:val="en-US"/>
              </w:rPr>
              <w:t xml:space="preserve">Educational </w:t>
            </w:r>
            <w:proofErr w:type="spellStart"/>
            <w:r w:rsidRPr="00C23768">
              <w:rPr>
                <w:highlight w:val="red"/>
                <w:lang w:val="en-US"/>
              </w:rPr>
              <w:t>programmes</w:t>
            </w:r>
            <w:proofErr w:type="spellEnd"/>
            <w:r w:rsidRPr="00C23768">
              <w:rPr>
                <w:highlight w:val="red"/>
                <w:lang w:val="en-US"/>
              </w:rPr>
              <w:t xml:space="preserve"> on ecosystems for local or national communities (4.6%)</w:t>
            </w:r>
          </w:p>
          <w:p w:rsidR="002A3E93" w:rsidRPr="008726EC" w:rsidRDefault="002A3E93" w:rsidP="002A3E93">
            <w:pPr>
              <w:pStyle w:val="Brdtext"/>
              <w:rPr>
                <w:highlight w:val="yellow"/>
                <w:lang w:val="en-US"/>
              </w:rPr>
            </w:pPr>
            <w:r w:rsidRPr="00C23768">
              <w:rPr>
                <w:highlight w:val="red"/>
                <w:lang w:val="en-US"/>
              </w:rPr>
              <w:t xml:space="preserve">Educational </w:t>
            </w:r>
            <w:proofErr w:type="spellStart"/>
            <w:r w:rsidRPr="00C23768">
              <w:rPr>
                <w:highlight w:val="red"/>
                <w:lang w:val="en-US"/>
              </w:rPr>
              <w:t>programmes</w:t>
            </w:r>
            <w:proofErr w:type="spellEnd"/>
            <w:r w:rsidRPr="00C23768">
              <w:rPr>
                <w:highlight w:val="red"/>
                <w:lang w:val="en-US"/>
              </w:rPr>
              <w:t xml:space="preserve"> or outreach on sustainable management of land for agriculture and tourism (4.6%)</w:t>
            </w:r>
          </w:p>
        </w:tc>
        <w:tc>
          <w:tcPr>
            <w:tcW w:w="1723" w:type="dxa"/>
            <w:noWrap/>
            <w:hideMark/>
          </w:tcPr>
          <w:p w:rsidR="002A3E93" w:rsidRPr="007841A3" w:rsidRDefault="002A3E93" w:rsidP="002A3E93">
            <w:pPr>
              <w:pStyle w:val="Brdtext"/>
              <w:rPr>
                <w:b/>
                <w:highlight w:val="yellow"/>
              </w:rPr>
            </w:pPr>
            <w:r w:rsidRPr="007841A3">
              <w:rPr>
                <w:b/>
                <w:highlight w:val="yellow"/>
              </w:rPr>
              <w:t>23%</w:t>
            </w:r>
          </w:p>
        </w:tc>
        <w:tc>
          <w:tcPr>
            <w:tcW w:w="920" w:type="dxa"/>
            <w:noWrap/>
            <w:hideMark/>
          </w:tcPr>
          <w:p w:rsidR="002A3E93" w:rsidRPr="007841A3" w:rsidRDefault="002A3E93" w:rsidP="002A3E93">
            <w:pPr>
              <w:pStyle w:val="Brdtext"/>
              <w:rPr>
                <w:b/>
                <w:highlight w:val="yellow"/>
              </w:rPr>
            </w:pPr>
            <w:r w:rsidRPr="007841A3">
              <w:rPr>
                <w:b/>
                <w:highlight w:val="yellow"/>
              </w:rPr>
              <w:t>46.6</w:t>
            </w:r>
          </w:p>
          <w:p w:rsidR="002A3E93" w:rsidRDefault="002A3E93" w:rsidP="002A3E93">
            <w:pPr>
              <w:pStyle w:val="Brdtext"/>
              <w:rPr>
                <w:highlight w:val="yellow"/>
              </w:rPr>
            </w:pPr>
          </w:p>
          <w:p w:rsidR="002A3E93" w:rsidRPr="00471527" w:rsidRDefault="002A3E93" w:rsidP="002A3E93">
            <w:pPr>
              <w:pStyle w:val="Brdtext"/>
            </w:pPr>
            <w:r w:rsidRPr="00F525E0">
              <w:rPr>
                <w:highlight w:val="red"/>
              </w:rPr>
              <w:t>33.3</w:t>
            </w:r>
          </w:p>
          <w:p w:rsidR="00F525E0" w:rsidRDefault="00F525E0" w:rsidP="002A3E93">
            <w:pPr>
              <w:pStyle w:val="Brdtext"/>
            </w:pPr>
          </w:p>
          <w:p w:rsidR="002A3E93" w:rsidRDefault="002A3E93" w:rsidP="002A3E93">
            <w:pPr>
              <w:pStyle w:val="Brdtext"/>
            </w:pPr>
            <w:r w:rsidRPr="00437B07">
              <w:rPr>
                <w:highlight w:val="yellow"/>
              </w:rPr>
              <w:t>50</w:t>
            </w:r>
          </w:p>
          <w:p w:rsidR="002A3E93" w:rsidRDefault="002A3E93" w:rsidP="002A3E93">
            <w:pPr>
              <w:pStyle w:val="Brdtext"/>
            </w:pPr>
          </w:p>
          <w:p w:rsidR="002A3E93" w:rsidRDefault="002A3E93" w:rsidP="002A3E93">
            <w:pPr>
              <w:pStyle w:val="Brdtext"/>
            </w:pPr>
            <w:r w:rsidRPr="0053219A">
              <w:rPr>
                <w:highlight w:val="green"/>
              </w:rPr>
              <w:t>83.3</w:t>
            </w:r>
          </w:p>
          <w:p w:rsidR="002A3E93" w:rsidRDefault="002A3E93" w:rsidP="002A3E93">
            <w:pPr>
              <w:pStyle w:val="Brdtext"/>
            </w:pPr>
          </w:p>
          <w:p w:rsidR="002A3E93" w:rsidRPr="00F525E0" w:rsidRDefault="002A3E93" w:rsidP="002A3E93">
            <w:pPr>
              <w:pStyle w:val="Brdtext"/>
              <w:rPr>
                <w:highlight w:val="red"/>
              </w:rPr>
            </w:pPr>
            <w:r w:rsidRPr="00F525E0">
              <w:rPr>
                <w:highlight w:val="red"/>
              </w:rPr>
              <w:t>33.3</w:t>
            </w:r>
          </w:p>
          <w:p w:rsidR="002A3E93" w:rsidRPr="00F525E0" w:rsidRDefault="002A3E93" w:rsidP="002A3E93">
            <w:pPr>
              <w:pStyle w:val="Brdtext"/>
              <w:rPr>
                <w:highlight w:val="red"/>
              </w:rPr>
            </w:pPr>
          </w:p>
          <w:p w:rsidR="002A3E93" w:rsidRPr="008726EC" w:rsidRDefault="002A3E93" w:rsidP="002A3E93">
            <w:pPr>
              <w:pStyle w:val="Brdtext"/>
              <w:rPr>
                <w:highlight w:val="yellow"/>
              </w:rPr>
            </w:pPr>
            <w:r w:rsidRPr="00F525E0">
              <w:rPr>
                <w:highlight w:val="red"/>
              </w:rPr>
              <w:t>33.3</w:t>
            </w:r>
          </w:p>
        </w:tc>
        <w:tc>
          <w:tcPr>
            <w:tcW w:w="1871" w:type="dxa"/>
            <w:noWrap/>
          </w:tcPr>
          <w:p w:rsidR="002A3E93" w:rsidRPr="00AF04BE" w:rsidRDefault="002A3E93" w:rsidP="002A3E93">
            <w:pPr>
              <w:pStyle w:val="Brdtext"/>
              <w:rPr>
                <w:highlight w:val="red"/>
                <w:lang w:val="en-US"/>
              </w:rPr>
            </w:pPr>
          </w:p>
          <w:p w:rsidR="002A3E93" w:rsidRPr="00AF04BE" w:rsidRDefault="002A3E93" w:rsidP="002A3E93">
            <w:pPr>
              <w:pStyle w:val="Brdtext"/>
              <w:rPr>
                <w:highlight w:val="red"/>
                <w:lang w:val="en-US"/>
              </w:rPr>
            </w:pP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p>
          <w:p w:rsidR="002A3E93" w:rsidRPr="00AF04BE" w:rsidRDefault="002A3E93" w:rsidP="002A3E93">
            <w:pPr>
              <w:pStyle w:val="Brdtext"/>
              <w:rPr>
                <w:highlight w:val="red"/>
                <w:lang w:val="en-US"/>
              </w:rPr>
            </w:pPr>
          </w:p>
          <w:p w:rsidR="002A3E93" w:rsidRPr="00AF04BE" w:rsidRDefault="002A3E93" w:rsidP="002A3E93">
            <w:pPr>
              <w:pStyle w:val="Brdtext"/>
              <w:rPr>
                <w:lang w:val="en-US"/>
              </w:rPr>
            </w:pPr>
            <w:r w:rsidRPr="00AF04BE">
              <w:rPr>
                <w:lang w:val="en-US"/>
              </w:rPr>
              <w:t>Evidence not provided</w:t>
            </w:r>
          </w:p>
          <w:p w:rsidR="00F525E0" w:rsidRDefault="00F525E0" w:rsidP="002A3E93">
            <w:pPr>
              <w:pStyle w:val="Brdtext"/>
              <w:rPr>
                <w:lang w:val="en-US"/>
              </w:rPr>
            </w:pPr>
          </w:p>
          <w:p w:rsidR="002A3E93" w:rsidRPr="007841A3" w:rsidRDefault="002A3E93" w:rsidP="002A3E93">
            <w:pPr>
              <w:pStyle w:val="Brdtext"/>
              <w:rPr>
                <w:lang w:val="en-US"/>
              </w:rPr>
            </w:pPr>
            <w:r>
              <w:rPr>
                <w:lang w:val="en-US"/>
              </w:rPr>
              <w:t>Evidence not provided</w:t>
            </w:r>
          </w:p>
        </w:tc>
      </w:tr>
      <w:tr w:rsidR="002A3E93" w:rsidRPr="00F525E0" w:rsidTr="00703701">
        <w:trPr>
          <w:trHeight w:val="315"/>
        </w:trPr>
        <w:tc>
          <w:tcPr>
            <w:tcW w:w="3909" w:type="dxa"/>
            <w:noWrap/>
            <w:hideMark/>
          </w:tcPr>
          <w:p w:rsidR="002A3E93" w:rsidRPr="0052483C" w:rsidRDefault="002A3E93" w:rsidP="002A3E93">
            <w:pPr>
              <w:pStyle w:val="Brdtext"/>
              <w:rPr>
                <w:b/>
                <w:highlight w:val="yellow"/>
                <w:lang w:val="en-US"/>
              </w:rPr>
            </w:pPr>
            <w:r w:rsidRPr="0052483C">
              <w:rPr>
                <w:b/>
                <w:highlight w:val="yellow"/>
                <w:lang w:val="en-US"/>
              </w:rPr>
              <w:lastRenderedPageBreak/>
              <w:t>Supporting land ecosystems through action</w:t>
            </w:r>
          </w:p>
          <w:p w:rsidR="002A3E93" w:rsidRPr="00C23768" w:rsidRDefault="002A3E93" w:rsidP="002A3E93">
            <w:pPr>
              <w:pStyle w:val="Brdtext"/>
              <w:rPr>
                <w:highlight w:val="green"/>
                <w:lang w:val="en-US"/>
              </w:rPr>
            </w:pPr>
            <w:r w:rsidRPr="00C23768">
              <w:rPr>
                <w:highlight w:val="green"/>
                <w:lang w:val="en-US"/>
              </w:rPr>
              <w:t>Policy to ensure the conservation, restoration and sustainable use of land ecosystems associated with the university (5.4%)</w:t>
            </w:r>
          </w:p>
          <w:p w:rsidR="002A3E93" w:rsidRPr="0052483C" w:rsidRDefault="002A3E93" w:rsidP="002A3E93">
            <w:pPr>
              <w:pStyle w:val="Brdtext"/>
              <w:rPr>
                <w:highlight w:val="yellow"/>
                <w:lang w:val="en-US"/>
              </w:rPr>
            </w:pPr>
            <w:r w:rsidRPr="0052483C">
              <w:rPr>
                <w:highlight w:val="yellow"/>
                <w:lang w:val="en-US"/>
              </w:rPr>
              <w:t>Policy to identify, monitor and protect threatened species affected by the operation of the university (5.4%)</w:t>
            </w:r>
          </w:p>
          <w:p w:rsidR="002A3E93" w:rsidRPr="00C23768" w:rsidRDefault="002A3E93" w:rsidP="002A3E93">
            <w:pPr>
              <w:pStyle w:val="Brdtext"/>
              <w:rPr>
                <w:highlight w:val="green"/>
                <w:lang w:val="en-US"/>
              </w:rPr>
            </w:pPr>
            <w:r w:rsidRPr="00C23768">
              <w:rPr>
                <w:highlight w:val="green"/>
                <w:lang w:val="en-US"/>
              </w:rPr>
              <w:t>Include local biodiversity in any planning and development processes – for example, construction of new buildings (5.4%)</w:t>
            </w:r>
          </w:p>
          <w:p w:rsidR="002A3E93" w:rsidRPr="0052483C" w:rsidRDefault="002A3E93" w:rsidP="002A3E93">
            <w:pPr>
              <w:pStyle w:val="Brdtext"/>
              <w:rPr>
                <w:highlight w:val="yellow"/>
                <w:lang w:val="en-US"/>
              </w:rPr>
            </w:pPr>
            <w:r w:rsidRPr="0052483C">
              <w:rPr>
                <w:highlight w:val="yellow"/>
                <w:lang w:val="en-US"/>
              </w:rPr>
              <w:t>Policy to reduce impact of non-native species on campus (5.4%)</w:t>
            </w:r>
          </w:p>
          <w:p w:rsidR="002A3E93" w:rsidRPr="0052483C" w:rsidRDefault="002A3E93" w:rsidP="002A3E93">
            <w:pPr>
              <w:pStyle w:val="Brdtext"/>
              <w:rPr>
                <w:highlight w:val="yellow"/>
                <w:lang w:val="en-US"/>
              </w:rPr>
            </w:pPr>
            <w:r w:rsidRPr="00C23768">
              <w:rPr>
                <w:highlight w:val="red"/>
                <w:lang w:val="en-US"/>
              </w:rPr>
              <w:t>Collaborate with local community to maintain shared land ecosystems (5.4%)</w:t>
            </w:r>
          </w:p>
        </w:tc>
        <w:tc>
          <w:tcPr>
            <w:tcW w:w="1723" w:type="dxa"/>
            <w:noWrap/>
            <w:hideMark/>
          </w:tcPr>
          <w:p w:rsidR="002A3E93" w:rsidRPr="007841A3" w:rsidRDefault="002A3E93" w:rsidP="002A3E93">
            <w:pPr>
              <w:pStyle w:val="Brdtext"/>
              <w:rPr>
                <w:b/>
                <w:highlight w:val="yellow"/>
              </w:rPr>
            </w:pPr>
            <w:r w:rsidRPr="007841A3">
              <w:rPr>
                <w:b/>
                <w:highlight w:val="yellow"/>
              </w:rPr>
              <w:t>27%</w:t>
            </w:r>
          </w:p>
        </w:tc>
        <w:tc>
          <w:tcPr>
            <w:tcW w:w="920" w:type="dxa"/>
            <w:noWrap/>
            <w:hideMark/>
          </w:tcPr>
          <w:p w:rsidR="002A3E93" w:rsidRPr="007841A3" w:rsidRDefault="002A3E93" w:rsidP="002A3E93">
            <w:pPr>
              <w:pStyle w:val="Brdtext"/>
              <w:rPr>
                <w:b/>
                <w:highlight w:val="yellow"/>
              </w:rPr>
            </w:pPr>
            <w:r w:rsidRPr="007841A3">
              <w:rPr>
                <w:b/>
                <w:highlight w:val="yellow"/>
              </w:rPr>
              <w:t>60.8</w:t>
            </w:r>
          </w:p>
          <w:p w:rsidR="002A3E93" w:rsidRDefault="002A3E93" w:rsidP="002A3E93">
            <w:pPr>
              <w:pStyle w:val="Brdtext"/>
              <w:rPr>
                <w:highlight w:val="yellow"/>
              </w:rPr>
            </w:pPr>
          </w:p>
          <w:p w:rsidR="002A3E93" w:rsidRDefault="002A3E93" w:rsidP="002A3E93">
            <w:pPr>
              <w:pStyle w:val="Brdtext"/>
              <w:rPr>
                <w:highlight w:val="yellow"/>
              </w:rPr>
            </w:pPr>
            <w:r w:rsidRPr="0053219A">
              <w:rPr>
                <w:highlight w:val="green"/>
              </w:rPr>
              <w:t>87.5</w:t>
            </w:r>
          </w:p>
          <w:p w:rsidR="002A3E93" w:rsidRDefault="002A3E93" w:rsidP="002A3E93">
            <w:pPr>
              <w:pStyle w:val="Brdtext"/>
              <w:rPr>
                <w:highlight w:val="yellow"/>
              </w:rPr>
            </w:pPr>
          </w:p>
          <w:p w:rsidR="002A3E93" w:rsidRDefault="002A3E93" w:rsidP="002A3E93">
            <w:pPr>
              <w:pStyle w:val="Brdtext"/>
              <w:rPr>
                <w:highlight w:val="yellow"/>
              </w:rPr>
            </w:pPr>
            <w:r>
              <w:rPr>
                <w:highlight w:val="yellow"/>
              </w:rPr>
              <w:t>50</w:t>
            </w:r>
          </w:p>
          <w:p w:rsidR="002A3E93" w:rsidRDefault="002A3E93" w:rsidP="002A3E93">
            <w:pPr>
              <w:pStyle w:val="Brdtext"/>
              <w:rPr>
                <w:highlight w:val="yellow"/>
              </w:rPr>
            </w:pPr>
          </w:p>
          <w:p w:rsidR="002A3E93" w:rsidRPr="0053219A" w:rsidRDefault="002A3E93" w:rsidP="002A3E93">
            <w:pPr>
              <w:pStyle w:val="Brdtext"/>
              <w:rPr>
                <w:highlight w:val="green"/>
              </w:rPr>
            </w:pPr>
            <w:r w:rsidRPr="0053219A">
              <w:rPr>
                <w:highlight w:val="green"/>
              </w:rPr>
              <w:t>83.3</w:t>
            </w:r>
          </w:p>
          <w:p w:rsidR="00F525E0" w:rsidRDefault="00F525E0" w:rsidP="002A3E93">
            <w:pPr>
              <w:pStyle w:val="Brdtext"/>
              <w:rPr>
                <w:highlight w:val="yellow"/>
              </w:rPr>
            </w:pPr>
          </w:p>
          <w:p w:rsidR="002A3E93" w:rsidRDefault="002A3E93" w:rsidP="002A3E93">
            <w:pPr>
              <w:pStyle w:val="Brdtext"/>
              <w:rPr>
                <w:highlight w:val="yellow"/>
              </w:rPr>
            </w:pPr>
            <w:r>
              <w:rPr>
                <w:highlight w:val="yellow"/>
              </w:rPr>
              <w:t>50</w:t>
            </w:r>
          </w:p>
          <w:p w:rsidR="00F525E0" w:rsidRDefault="00F525E0" w:rsidP="002A3E93">
            <w:pPr>
              <w:pStyle w:val="Brdtext"/>
              <w:rPr>
                <w:highlight w:val="red"/>
              </w:rPr>
            </w:pPr>
          </w:p>
          <w:p w:rsidR="002A3E93" w:rsidRPr="008726EC" w:rsidRDefault="002A3E93" w:rsidP="002A3E93">
            <w:pPr>
              <w:pStyle w:val="Brdtext"/>
              <w:rPr>
                <w:highlight w:val="yellow"/>
              </w:rPr>
            </w:pPr>
            <w:r w:rsidRPr="00F525E0">
              <w:rPr>
                <w:highlight w:val="red"/>
              </w:rPr>
              <w:t>33.3</w:t>
            </w:r>
          </w:p>
        </w:tc>
        <w:tc>
          <w:tcPr>
            <w:tcW w:w="1871" w:type="dxa"/>
            <w:noWrap/>
          </w:tcPr>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AF04BE" w:rsidRDefault="002A3E93" w:rsidP="002A3E93">
            <w:pPr>
              <w:pStyle w:val="Brdtext"/>
              <w:rPr>
                <w:lang w:val="en-US"/>
              </w:rPr>
            </w:pPr>
            <w:r w:rsidRPr="00AF04BE">
              <w:rPr>
                <w:lang w:val="en-US"/>
              </w:rPr>
              <w:t>Evidence not provided</w:t>
            </w:r>
          </w:p>
          <w:p w:rsidR="002A3E93" w:rsidRPr="00AF04BE" w:rsidRDefault="002A3E93" w:rsidP="002A3E93">
            <w:pPr>
              <w:pStyle w:val="Brdtext"/>
              <w:rPr>
                <w:lang w:val="en-US"/>
              </w:rPr>
            </w:pPr>
          </w:p>
          <w:p w:rsidR="002A3E93" w:rsidRPr="00AF04BE" w:rsidRDefault="002A3E93" w:rsidP="002A3E93">
            <w:pPr>
              <w:pStyle w:val="Brdtext"/>
              <w:rPr>
                <w:lang w:val="en-US"/>
              </w:rPr>
            </w:pPr>
          </w:p>
          <w:p w:rsidR="002A3E93" w:rsidRPr="00471527" w:rsidRDefault="002A3E93" w:rsidP="002A3E93">
            <w:pPr>
              <w:pStyle w:val="Brdtext"/>
              <w:rPr>
                <w:lang w:val="en-US"/>
              </w:rPr>
            </w:pPr>
            <w:r w:rsidRPr="00471527">
              <w:rPr>
                <w:lang w:val="en-US"/>
              </w:rPr>
              <w:t>Evidence not provided</w:t>
            </w:r>
          </w:p>
          <w:p w:rsidR="00F525E0" w:rsidRDefault="00F525E0" w:rsidP="002A3E93">
            <w:pPr>
              <w:pStyle w:val="Brdtext"/>
              <w:rPr>
                <w:lang w:val="en-US"/>
              </w:rPr>
            </w:pPr>
          </w:p>
          <w:p w:rsidR="002A3E93" w:rsidRPr="00471527" w:rsidRDefault="002A3E93" w:rsidP="002A3E93">
            <w:pPr>
              <w:pStyle w:val="Brdtext"/>
              <w:rPr>
                <w:lang w:val="en-US"/>
              </w:rPr>
            </w:pPr>
            <w:r w:rsidRPr="00471527">
              <w:rPr>
                <w:lang w:val="en-US"/>
              </w:rPr>
              <w:t>Evidence not provided</w:t>
            </w:r>
          </w:p>
        </w:tc>
      </w:tr>
      <w:tr w:rsidR="002A3E93" w:rsidRPr="00324325" w:rsidTr="00703701">
        <w:trPr>
          <w:trHeight w:val="315"/>
        </w:trPr>
        <w:tc>
          <w:tcPr>
            <w:tcW w:w="3909" w:type="dxa"/>
            <w:noWrap/>
            <w:hideMark/>
          </w:tcPr>
          <w:p w:rsidR="002A3E93" w:rsidRPr="0052483C" w:rsidRDefault="002A3E93" w:rsidP="002A3E93">
            <w:pPr>
              <w:pStyle w:val="Brdtext"/>
              <w:rPr>
                <w:b/>
                <w:lang w:val="en-US"/>
              </w:rPr>
            </w:pPr>
            <w:r w:rsidRPr="0052483C">
              <w:rPr>
                <w:b/>
                <w:highlight w:val="yellow"/>
                <w:lang w:val="en-US"/>
              </w:rPr>
              <w:t>Land-sensitive waste disposal</w:t>
            </w:r>
          </w:p>
          <w:p w:rsidR="002A3E93" w:rsidRPr="00C23768" w:rsidRDefault="002A3E93" w:rsidP="002A3E93">
            <w:pPr>
              <w:pStyle w:val="Brdtext"/>
              <w:rPr>
                <w:highlight w:val="red"/>
                <w:lang w:val="en-US"/>
              </w:rPr>
            </w:pPr>
            <w:r w:rsidRPr="00C23768">
              <w:rPr>
                <w:highlight w:val="red"/>
                <w:lang w:val="en-US"/>
              </w:rPr>
              <w:t>Water quality standards and guidelines for water discharges (7.7%)</w:t>
            </w:r>
          </w:p>
          <w:p w:rsidR="002A3E93" w:rsidRPr="00C23768" w:rsidRDefault="002A3E93" w:rsidP="002A3E93">
            <w:pPr>
              <w:pStyle w:val="Brdtext"/>
              <w:rPr>
                <w:highlight w:val="green"/>
                <w:lang w:val="en-US"/>
              </w:rPr>
            </w:pPr>
            <w:r w:rsidRPr="00C23768">
              <w:rPr>
                <w:highlight w:val="green"/>
                <w:lang w:val="en-US"/>
              </w:rPr>
              <w:t>Policy on reducing plastic waste on campus (7.65%)</w:t>
            </w:r>
          </w:p>
          <w:p w:rsidR="002A3E93" w:rsidRPr="0052483C" w:rsidRDefault="002A3E93" w:rsidP="002A3E93">
            <w:pPr>
              <w:pStyle w:val="Brdtext"/>
              <w:rPr>
                <w:highlight w:val="yellow"/>
                <w:lang w:val="en-US"/>
              </w:rPr>
            </w:pPr>
            <w:r w:rsidRPr="0052483C">
              <w:rPr>
                <w:highlight w:val="yellow"/>
                <w:lang w:val="en-US"/>
              </w:rPr>
              <w:t>Policy on waste disposal, covering hazardous materials (7.65%)</w:t>
            </w:r>
          </w:p>
        </w:tc>
        <w:tc>
          <w:tcPr>
            <w:tcW w:w="1723" w:type="dxa"/>
            <w:noWrap/>
            <w:hideMark/>
          </w:tcPr>
          <w:p w:rsidR="002A3E93" w:rsidRPr="007841A3" w:rsidRDefault="002A3E93" w:rsidP="002A3E93">
            <w:pPr>
              <w:pStyle w:val="Brdtext"/>
              <w:rPr>
                <w:b/>
                <w:highlight w:val="yellow"/>
              </w:rPr>
            </w:pPr>
            <w:r w:rsidRPr="007841A3">
              <w:rPr>
                <w:b/>
                <w:highlight w:val="yellow"/>
              </w:rPr>
              <w:t>23%</w:t>
            </w:r>
          </w:p>
        </w:tc>
        <w:tc>
          <w:tcPr>
            <w:tcW w:w="920" w:type="dxa"/>
            <w:noWrap/>
            <w:hideMark/>
          </w:tcPr>
          <w:p w:rsidR="002A3E93" w:rsidRPr="007841A3" w:rsidRDefault="002A3E93" w:rsidP="002A3E93">
            <w:pPr>
              <w:pStyle w:val="Brdtext"/>
              <w:rPr>
                <w:b/>
                <w:highlight w:val="yellow"/>
              </w:rPr>
            </w:pPr>
            <w:r w:rsidRPr="007841A3">
              <w:rPr>
                <w:b/>
                <w:highlight w:val="yellow"/>
              </w:rPr>
              <w:t>65.2</w:t>
            </w:r>
          </w:p>
          <w:p w:rsidR="002A3E93" w:rsidRPr="00F525E0" w:rsidRDefault="002A3E93" w:rsidP="002A3E93">
            <w:pPr>
              <w:pStyle w:val="Brdtext"/>
              <w:rPr>
                <w:highlight w:val="red"/>
              </w:rPr>
            </w:pPr>
            <w:r w:rsidRPr="00F525E0">
              <w:rPr>
                <w:highlight w:val="red"/>
              </w:rPr>
              <w:t>33.3</w:t>
            </w:r>
          </w:p>
          <w:p w:rsidR="002A3E93" w:rsidRDefault="002A3E93" w:rsidP="002A3E93">
            <w:pPr>
              <w:pStyle w:val="Brdtext"/>
              <w:rPr>
                <w:highlight w:val="yellow"/>
              </w:rPr>
            </w:pPr>
          </w:p>
          <w:p w:rsidR="002A3E93" w:rsidRPr="0053219A" w:rsidRDefault="002A3E93" w:rsidP="002A3E93">
            <w:pPr>
              <w:pStyle w:val="Brdtext"/>
              <w:rPr>
                <w:highlight w:val="green"/>
              </w:rPr>
            </w:pPr>
            <w:r w:rsidRPr="0053219A">
              <w:rPr>
                <w:highlight w:val="green"/>
              </w:rPr>
              <w:t>87.3</w:t>
            </w:r>
          </w:p>
          <w:p w:rsidR="002A3E93" w:rsidRPr="008726EC" w:rsidRDefault="002A3E93" w:rsidP="002A3E93">
            <w:pPr>
              <w:pStyle w:val="Brdtext"/>
              <w:rPr>
                <w:highlight w:val="yellow"/>
              </w:rPr>
            </w:pPr>
            <w:r>
              <w:rPr>
                <w:highlight w:val="yellow"/>
              </w:rPr>
              <w:t>75</w:t>
            </w:r>
          </w:p>
        </w:tc>
        <w:tc>
          <w:tcPr>
            <w:tcW w:w="1871" w:type="dxa"/>
            <w:noWrap/>
          </w:tcPr>
          <w:p w:rsidR="002A3E93" w:rsidRDefault="002A3E93" w:rsidP="002A3E93">
            <w:pPr>
              <w:pStyle w:val="Brdtext"/>
            </w:pPr>
          </w:p>
          <w:p w:rsidR="002A3E93" w:rsidRDefault="002A3E93" w:rsidP="002A3E93">
            <w:pPr>
              <w:pStyle w:val="Brdtext"/>
            </w:pPr>
            <w:proofErr w:type="spellStart"/>
            <w:r>
              <w:t>Evidence</w:t>
            </w:r>
            <w:proofErr w:type="spellEnd"/>
            <w:r>
              <w:t xml:space="preserve"> not </w:t>
            </w:r>
            <w:proofErr w:type="spellStart"/>
            <w:r>
              <w:t>provided</w:t>
            </w:r>
            <w:proofErr w:type="spellEnd"/>
          </w:p>
          <w:p w:rsidR="002A3E93" w:rsidRPr="00324325" w:rsidRDefault="002A3E93" w:rsidP="002A3E93">
            <w:pPr>
              <w:pStyle w:val="Brdtext"/>
            </w:pPr>
          </w:p>
        </w:tc>
      </w:tr>
    </w:tbl>
    <w:p w:rsidR="00324325" w:rsidRDefault="00324325" w:rsidP="00324325">
      <w:pPr>
        <w:pStyle w:val="Brdtext"/>
        <w:rPr>
          <w:sz w:val="20"/>
        </w:rPr>
      </w:pPr>
    </w:p>
    <w:p w:rsidR="009D14A5" w:rsidRDefault="00B34364" w:rsidP="00D003BB">
      <w:pPr>
        <w:pStyle w:val="Brdtext"/>
      </w:pPr>
      <w:r>
        <w:t xml:space="preserve">Inom denna SDG presterar KTH varken särskilt bra eller </w:t>
      </w:r>
      <w:r w:rsidR="004A1500">
        <w:t xml:space="preserve">uppvisar </w:t>
      </w:r>
      <w:r w:rsidR="00451501">
        <w:t>några anmärkningsvärt</w:t>
      </w:r>
      <w:r>
        <w:t xml:space="preserve"> svaga resultat. </w:t>
      </w:r>
      <w:r w:rsidR="00451501">
        <w:t>V</w:t>
      </w:r>
      <w:r w:rsidR="009D14A5">
        <w:t xml:space="preserve">iss </w:t>
      </w:r>
      <w:r w:rsidR="00646D8E">
        <w:t>förbättringspotential</w:t>
      </w:r>
      <w:r w:rsidR="00451501">
        <w:t xml:space="preserve"> torde finnas</w:t>
      </w:r>
      <w:r w:rsidR="00646D8E">
        <w:t xml:space="preserve"> inom utbil</w:t>
      </w:r>
      <w:r w:rsidR="006555B8">
        <w:t xml:space="preserve">dning, här borde vi se över </w:t>
      </w:r>
      <w:r w:rsidR="00646D8E">
        <w:t>vad som ka</w:t>
      </w:r>
      <w:r w:rsidR="009D14A5">
        <w:t>n förbättra</w:t>
      </w:r>
      <w:r w:rsidR="00451501">
        <w:t>s</w:t>
      </w:r>
      <w:r w:rsidR="009D14A5">
        <w:t xml:space="preserve"> </w:t>
      </w:r>
      <w:r w:rsidR="00B52CF8">
        <w:t xml:space="preserve">sett till rapportering </w:t>
      </w:r>
      <w:r w:rsidR="009D14A5">
        <w:t xml:space="preserve">inför nästa omgång, dock efterfrågas utbildning inom ekologi, biologi och turism. </w:t>
      </w:r>
      <w:r w:rsidR="00D20E21">
        <w:t>Rank</w:t>
      </w:r>
      <w:r w:rsidR="00C970BF">
        <w:t>n</w:t>
      </w:r>
      <w:r w:rsidR="00D20E21">
        <w:t>ingens fokus på ekosystem ligger vid sidan av KTH:s kärnområden inom forskning och utbildning.</w:t>
      </w:r>
      <w:r w:rsidR="003F77BA">
        <w:t xml:space="preserve"> </w:t>
      </w:r>
      <w:r w:rsidR="003F77BA" w:rsidRPr="003F77BA">
        <w:t>En policy krävs för att få full poäng inom d</w:t>
      </w:r>
      <w:r w:rsidR="003F77BA">
        <w:t xml:space="preserve">e indikatorer som efterfrågar en policy. </w:t>
      </w:r>
    </w:p>
    <w:p w:rsidR="00D003BB" w:rsidRDefault="00D003BB" w:rsidP="00D003BB">
      <w:pPr>
        <w:pStyle w:val="Brdtext"/>
      </w:pPr>
    </w:p>
    <w:p w:rsidR="00324325" w:rsidRPr="00B34364" w:rsidRDefault="00324325" w:rsidP="000C272F">
      <w:pPr>
        <w:pStyle w:val="Rubrik3"/>
      </w:pPr>
      <w:bookmarkStart w:id="16" w:name="_Toc52351583"/>
      <w:r w:rsidRPr="00B34364">
        <w:t>SDG 17</w:t>
      </w:r>
      <w:r w:rsidR="00AF18C7" w:rsidRPr="00B34364">
        <w:t xml:space="preserve"> Partnership for the </w:t>
      </w:r>
      <w:proofErr w:type="spellStart"/>
      <w:r w:rsidR="00AF18C7" w:rsidRPr="00B34364">
        <w:t>Goals</w:t>
      </w:r>
      <w:bookmarkEnd w:id="16"/>
      <w:proofErr w:type="spellEnd"/>
    </w:p>
    <w:tbl>
      <w:tblPr>
        <w:tblStyle w:val="Tabellrutnt"/>
        <w:tblW w:w="0" w:type="auto"/>
        <w:tblLook w:val="04A0" w:firstRow="1" w:lastRow="0" w:firstColumn="1" w:lastColumn="0" w:noHBand="0" w:noVBand="1"/>
      </w:tblPr>
      <w:tblGrid>
        <w:gridCol w:w="3909"/>
        <w:gridCol w:w="1723"/>
        <w:gridCol w:w="920"/>
        <w:gridCol w:w="1814"/>
      </w:tblGrid>
      <w:tr w:rsidR="002A3E93" w:rsidRPr="00324325" w:rsidTr="00703701">
        <w:trPr>
          <w:trHeight w:val="315"/>
        </w:trPr>
        <w:tc>
          <w:tcPr>
            <w:tcW w:w="3909" w:type="dxa"/>
            <w:noWrap/>
          </w:tcPr>
          <w:p w:rsidR="002A3E93" w:rsidRPr="00B34364" w:rsidRDefault="002A3E93" w:rsidP="002A3E93">
            <w:pPr>
              <w:pStyle w:val="Brdtext"/>
              <w:rPr>
                <w:b/>
              </w:rPr>
            </w:pPr>
            <w:r w:rsidRPr="00B34364">
              <w:rPr>
                <w:b/>
              </w:rPr>
              <w:t>Indikator</w:t>
            </w:r>
          </w:p>
        </w:tc>
        <w:tc>
          <w:tcPr>
            <w:tcW w:w="1723" w:type="dxa"/>
            <w:noWrap/>
          </w:tcPr>
          <w:p w:rsidR="002A3E93" w:rsidRPr="001A24C6" w:rsidRDefault="002A3E93" w:rsidP="002A3E93">
            <w:pPr>
              <w:pStyle w:val="Brdtext"/>
              <w:rPr>
                <w:b/>
              </w:rPr>
            </w:pPr>
            <w:r w:rsidRPr="001A24C6">
              <w:rPr>
                <w:b/>
              </w:rPr>
              <w:t xml:space="preserve">Viktning </w:t>
            </w:r>
          </w:p>
        </w:tc>
        <w:tc>
          <w:tcPr>
            <w:tcW w:w="920" w:type="dxa"/>
            <w:noWrap/>
          </w:tcPr>
          <w:p w:rsidR="002A3E93" w:rsidRPr="001A24C6" w:rsidRDefault="002A3E93" w:rsidP="002A3E93">
            <w:pPr>
              <w:pStyle w:val="Brdtext"/>
              <w:rPr>
                <w:b/>
              </w:rPr>
            </w:pPr>
            <w:r w:rsidRPr="001A24C6">
              <w:rPr>
                <w:b/>
              </w:rPr>
              <w:t xml:space="preserve">Poäng </w:t>
            </w:r>
          </w:p>
        </w:tc>
        <w:tc>
          <w:tcPr>
            <w:tcW w:w="1814" w:type="dxa"/>
            <w:noWrap/>
          </w:tcPr>
          <w:p w:rsidR="002A3E93" w:rsidRPr="001A24C6" w:rsidRDefault="002A3E93" w:rsidP="002A3E93">
            <w:pPr>
              <w:pStyle w:val="Brdtext"/>
              <w:rPr>
                <w:b/>
              </w:rPr>
            </w:pPr>
            <w:r w:rsidRPr="001A24C6">
              <w:rPr>
                <w:b/>
              </w:rPr>
              <w:t>Rank för SDG</w:t>
            </w:r>
            <w:r>
              <w:rPr>
                <w:b/>
              </w:rPr>
              <w:t>/ kommentar</w:t>
            </w:r>
          </w:p>
        </w:tc>
      </w:tr>
      <w:tr w:rsidR="002A3E93" w:rsidRPr="00324325" w:rsidTr="00703701">
        <w:trPr>
          <w:trHeight w:val="315"/>
        </w:trPr>
        <w:tc>
          <w:tcPr>
            <w:tcW w:w="3909" w:type="dxa"/>
            <w:noWrap/>
            <w:hideMark/>
          </w:tcPr>
          <w:p w:rsidR="002A3E93" w:rsidRPr="008E44BF" w:rsidRDefault="002A3E93" w:rsidP="002A3E93">
            <w:pPr>
              <w:pStyle w:val="Brdtext"/>
              <w:rPr>
                <w:b/>
                <w:lang w:val="en-US"/>
              </w:rPr>
            </w:pPr>
            <w:r w:rsidRPr="008E44BF">
              <w:rPr>
                <w:b/>
                <w:highlight w:val="green"/>
                <w:lang w:val="en-US"/>
              </w:rPr>
              <w:t>Research into partnership for the goals</w:t>
            </w:r>
          </w:p>
          <w:p w:rsidR="002A3E93" w:rsidRPr="00C23768" w:rsidRDefault="002A3E93" w:rsidP="002A3E93">
            <w:pPr>
              <w:pStyle w:val="Brdtext"/>
              <w:rPr>
                <w:highlight w:val="yellow"/>
                <w:lang w:val="en-US"/>
              </w:rPr>
            </w:pPr>
            <w:r w:rsidRPr="00C23768">
              <w:rPr>
                <w:highlight w:val="yellow"/>
                <w:lang w:val="en-US"/>
              </w:rPr>
              <w:lastRenderedPageBreak/>
              <w:t>Proportion of academic publications with co-author from developing country (13.55%)</w:t>
            </w:r>
          </w:p>
          <w:p w:rsidR="002A3E93" w:rsidRPr="008726EC" w:rsidRDefault="002A3E93" w:rsidP="002A3E93">
            <w:pPr>
              <w:pStyle w:val="Brdtext"/>
              <w:rPr>
                <w:highlight w:val="green"/>
                <w:lang w:val="en-US"/>
              </w:rPr>
            </w:pPr>
            <w:r w:rsidRPr="008E44BF">
              <w:rPr>
                <w:highlight w:val="green"/>
                <w:lang w:val="en-US"/>
              </w:rPr>
              <w:t>Number of publications that relate to the 17 SDGs (13.55%)</w:t>
            </w:r>
          </w:p>
        </w:tc>
        <w:tc>
          <w:tcPr>
            <w:tcW w:w="1723" w:type="dxa"/>
            <w:noWrap/>
            <w:hideMark/>
          </w:tcPr>
          <w:p w:rsidR="002A3E93" w:rsidRPr="007841A3" w:rsidRDefault="002A3E93" w:rsidP="002A3E93">
            <w:pPr>
              <w:pStyle w:val="Brdtext"/>
              <w:rPr>
                <w:b/>
                <w:highlight w:val="green"/>
              </w:rPr>
            </w:pPr>
            <w:r w:rsidRPr="007841A3">
              <w:rPr>
                <w:b/>
                <w:highlight w:val="green"/>
              </w:rPr>
              <w:lastRenderedPageBreak/>
              <w:t>27.1%</w:t>
            </w:r>
          </w:p>
        </w:tc>
        <w:tc>
          <w:tcPr>
            <w:tcW w:w="920" w:type="dxa"/>
            <w:noWrap/>
            <w:hideMark/>
          </w:tcPr>
          <w:p w:rsidR="002A3E93" w:rsidRPr="007841A3" w:rsidRDefault="002A3E93" w:rsidP="002A3E93">
            <w:pPr>
              <w:pStyle w:val="Brdtext"/>
              <w:rPr>
                <w:b/>
                <w:highlight w:val="green"/>
              </w:rPr>
            </w:pPr>
            <w:r w:rsidRPr="007841A3">
              <w:rPr>
                <w:b/>
                <w:highlight w:val="green"/>
              </w:rPr>
              <w:t>83</w:t>
            </w:r>
          </w:p>
          <w:p w:rsidR="002A3E93" w:rsidRPr="00EA0CB8" w:rsidRDefault="002A3E93" w:rsidP="002A3E93">
            <w:pPr>
              <w:pStyle w:val="Brdtext"/>
            </w:pPr>
            <w:r w:rsidRPr="00C23768">
              <w:rPr>
                <w:highlight w:val="yellow"/>
              </w:rPr>
              <w:lastRenderedPageBreak/>
              <w:t>71</w:t>
            </w:r>
          </w:p>
          <w:p w:rsidR="002A3E93" w:rsidRPr="00EA0CB8" w:rsidRDefault="002A3E93" w:rsidP="002A3E93">
            <w:pPr>
              <w:pStyle w:val="Brdtext"/>
            </w:pPr>
          </w:p>
          <w:p w:rsidR="002A3E93" w:rsidRPr="008726EC" w:rsidRDefault="002A3E93" w:rsidP="002A3E93">
            <w:pPr>
              <w:pStyle w:val="Brdtext"/>
              <w:rPr>
                <w:highlight w:val="green"/>
              </w:rPr>
            </w:pPr>
            <w:r w:rsidRPr="0053219A">
              <w:rPr>
                <w:highlight w:val="green"/>
              </w:rPr>
              <w:t>95</w:t>
            </w:r>
          </w:p>
        </w:tc>
        <w:tc>
          <w:tcPr>
            <w:tcW w:w="1814" w:type="dxa"/>
            <w:noWrap/>
            <w:hideMark/>
          </w:tcPr>
          <w:p w:rsidR="002A3E93" w:rsidRPr="007841A3" w:rsidRDefault="002A3E93" w:rsidP="002A3E93">
            <w:pPr>
              <w:pStyle w:val="Brdtext"/>
              <w:rPr>
                <w:b/>
              </w:rPr>
            </w:pPr>
            <w:r w:rsidRPr="007841A3">
              <w:rPr>
                <w:b/>
              </w:rPr>
              <w:lastRenderedPageBreak/>
              <w:t>71</w:t>
            </w:r>
          </w:p>
        </w:tc>
      </w:tr>
      <w:tr w:rsidR="002A3E93" w:rsidRPr="00324325" w:rsidTr="00703701">
        <w:trPr>
          <w:trHeight w:val="315"/>
        </w:trPr>
        <w:tc>
          <w:tcPr>
            <w:tcW w:w="3909" w:type="dxa"/>
            <w:noWrap/>
            <w:hideMark/>
          </w:tcPr>
          <w:p w:rsidR="002A3E93" w:rsidRPr="008E44BF" w:rsidRDefault="002A3E93" w:rsidP="002A3E93">
            <w:pPr>
              <w:pStyle w:val="Brdtext"/>
              <w:rPr>
                <w:b/>
                <w:lang w:val="en-US"/>
              </w:rPr>
            </w:pPr>
            <w:r w:rsidRPr="008E44BF">
              <w:rPr>
                <w:b/>
                <w:highlight w:val="green"/>
                <w:lang w:val="en-US"/>
              </w:rPr>
              <w:t>Relationships to support the goals</w:t>
            </w:r>
          </w:p>
          <w:p w:rsidR="002A3E93" w:rsidRPr="008E44BF" w:rsidRDefault="002A3E93" w:rsidP="002A3E93">
            <w:pPr>
              <w:pStyle w:val="Brdtext"/>
              <w:rPr>
                <w:highlight w:val="green"/>
                <w:lang w:val="en-US"/>
              </w:rPr>
            </w:pPr>
            <w:r w:rsidRPr="008E44BF">
              <w:rPr>
                <w:highlight w:val="green"/>
                <w:lang w:val="en-US"/>
              </w:rPr>
              <w:t>SDG policy development with government (3.7%)</w:t>
            </w:r>
          </w:p>
          <w:p w:rsidR="002A3E93" w:rsidRPr="008E44BF" w:rsidRDefault="002A3E93" w:rsidP="002A3E93">
            <w:pPr>
              <w:pStyle w:val="Brdtext"/>
              <w:rPr>
                <w:highlight w:val="green"/>
                <w:lang w:val="en-US"/>
              </w:rPr>
            </w:pPr>
            <w:r w:rsidRPr="008E44BF">
              <w:rPr>
                <w:highlight w:val="green"/>
                <w:lang w:val="en-US"/>
              </w:rPr>
              <w:t>Cross-sectoral dialogue about SDGs with government or NGOs (3.7%)</w:t>
            </w:r>
          </w:p>
          <w:p w:rsidR="002A3E93" w:rsidRPr="00C23768" w:rsidRDefault="002A3E93" w:rsidP="002A3E93">
            <w:pPr>
              <w:pStyle w:val="Brdtext"/>
              <w:rPr>
                <w:highlight w:val="red"/>
                <w:lang w:val="en-US"/>
              </w:rPr>
            </w:pPr>
            <w:r w:rsidRPr="00C23768">
              <w:rPr>
                <w:highlight w:val="red"/>
                <w:lang w:val="en-US"/>
              </w:rPr>
              <w:t>Collaborate internationally to capture data relating to SDGs (3.7%)</w:t>
            </w:r>
          </w:p>
          <w:p w:rsidR="002A3E93" w:rsidRPr="008E44BF" w:rsidRDefault="002A3E93" w:rsidP="002A3E93">
            <w:pPr>
              <w:pStyle w:val="Brdtext"/>
              <w:rPr>
                <w:highlight w:val="green"/>
                <w:lang w:val="en-US"/>
              </w:rPr>
            </w:pPr>
            <w:r w:rsidRPr="008E44BF">
              <w:rPr>
                <w:highlight w:val="green"/>
                <w:lang w:val="en-US"/>
              </w:rPr>
              <w:t>Collaborate internationally to develop best practice on tackling SDGs (3.7%)</w:t>
            </w:r>
          </w:p>
          <w:p w:rsidR="002A3E93" w:rsidRPr="008726EC" w:rsidRDefault="002A3E93" w:rsidP="002A3E93">
            <w:pPr>
              <w:pStyle w:val="Brdtext"/>
              <w:rPr>
                <w:highlight w:val="green"/>
                <w:lang w:val="en-US"/>
              </w:rPr>
            </w:pPr>
            <w:r w:rsidRPr="008E44BF">
              <w:rPr>
                <w:highlight w:val="green"/>
                <w:lang w:val="en-US"/>
              </w:rPr>
              <w:t xml:space="preserve">Collaborate with NGOs to tackle SDGs through student volunteering </w:t>
            </w:r>
            <w:proofErr w:type="spellStart"/>
            <w:r w:rsidRPr="008E44BF">
              <w:rPr>
                <w:highlight w:val="green"/>
                <w:lang w:val="en-US"/>
              </w:rPr>
              <w:t>programmes</w:t>
            </w:r>
            <w:proofErr w:type="spellEnd"/>
            <w:r w:rsidRPr="008E44BF">
              <w:rPr>
                <w:highlight w:val="green"/>
                <w:lang w:val="en-US"/>
              </w:rPr>
              <w:t xml:space="preserve">, research </w:t>
            </w:r>
            <w:proofErr w:type="spellStart"/>
            <w:r w:rsidRPr="008E44BF">
              <w:rPr>
                <w:highlight w:val="green"/>
                <w:lang w:val="en-US"/>
              </w:rPr>
              <w:t>programmes</w:t>
            </w:r>
            <w:proofErr w:type="spellEnd"/>
            <w:r w:rsidRPr="008E44BF">
              <w:rPr>
                <w:highlight w:val="green"/>
                <w:lang w:val="en-US"/>
              </w:rPr>
              <w:t xml:space="preserve"> or educational resources (3.7%)</w:t>
            </w:r>
          </w:p>
        </w:tc>
        <w:tc>
          <w:tcPr>
            <w:tcW w:w="1723" w:type="dxa"/>
            <w:noWrap/>
            <w:hideMark/>
          </w:tcPr>
          <w:p w:rsidR="002A3E93" w:rsidRPr="007841A3" w:rsidRDefault="002A3E93" w:rsidP="002A3E93">
            <w:pPr>
              <w:pStyle w:val="Brdtext"/>
              <w:rPr>
                <w:b/>
                <w:highlight w:val="green"/>
              </w:rPr>
            </w:pPr>
            <w:r w:rsidRPr="007841A3">
              <w:rPr>
                <w:b/>
                <w:highlight w:val="green"/>
              </w:rPr>
              <w:t>18.5%</w:t>
            </w:r>
          </w:p>
        </w:tc>
        <w:tc>
          <w:tcPr>
            <w:tcW w:w="920" w:type="dxa"/>
            <w:noWrap/>
            <w:hideMark/>
          </w:tcPr>
          <w:p w:rsidR="002A3E93" w:rsidRPr="007841A3" w:rsidRDefault="002A3E93" w:rsidP="002A3E93">
            <w:pPr>
              <w:pStyle w:val="Brdtext"/>
              <w:rPr>
                <w:b/>
                <w:highlight w:val="green"/>
              </w:rPr>
            </w:pPr>
            <w:r w:rsidRPr="007841A3">
              <w:rPr>
                <w:b/>
                <w:highlight w:val="green"/>
              </w:rPr>
              <w:t>84.4</w:t>
            </w:r>
          </w:p>
          <w:p w:rsidR="002A3E93" w:rsidRDefault="002A3E93" w:rsidP="002A3E93">
            <w:pPr>
              <w:pStyle w:val="Brdtext"/>
              <w:rPr>
                <w:highlight w:val="green"/>
              </w:rPr>
            </w:pPr>
          </w:p>
          <w:p w:rsidR="002A3E93" w:rsidRPr="0053219A" w:rsidRDefault="002A3E93" w:rsidP="002A3E93">
            <w:pPr>
              <w:pStyle w:val="Brdtext"/>
              <w:rPr>
                <w:highlight w:val="green"/>
              </w:rPr>
            </w:pPr>
            <w:r w:rsidRPr="0053219A">
              <w:rPr>
                <w:highlight w:val="green"/>
              </w:rPr>
              <w:t>100</w:t>
            </w:r>
          </w:p>
          <w:p w:rsidR="002A3E93" w:rsidRPr="00EA0CB8" w:rsidRDefault="002A3E93" w:rsidP="002A3E93">
            <w:pPr>
              <w:pStyle w:val="Brdtext"/>
            </w:pPr>
            <w:r w:rsidRPr="0053219A">
              <w:rPr>
                <w:highlight w:val="green"/>
              </w:rPr>
              <w:t>100</w:t>
            </w:r>
          </w:p>
          <w:p w:rsidR="002A3E93" w:rsidRPr="00EA0CB8" w:rsidRDefault="002A3E93" w:rsidP="002A3E93">
            <w:pPr>
              <w:pStyle w:val="Brdtext"/>
            </w:pPr>
          </w:p>
          <w:p w:rsidR="002A3E93" w:rsidRPr="00EA0CB8" w:rsidRDefault="002A3E93" w:rsidP="002A3E93">
            <w:pPr>
              <w:pStyle w:val="Brdtext"/>
            </w:pPr>
            <w:r w:rsidRPr="00F525E0">
              <w:rPr>
                <w:highlight w:val="red"/>
              </w:rPr>
              <w:t>33.3</w:t>
            </w:r>
          </w:p>
          <w:p w:rsidR="002A3E93" w:rsidRPr="0053219A" w:rsidRDefault="002A3E93" w:rsidP="002A3E93">
            <w:pPr>
              <w:pStyle w:val="Brdtext"/>
              <w:rPr>
                <w:highlight w:val="green"/>
              </w:rPr>
            </w:pPr>
            <w:r w:rsidRPr="0053219A">
              <w:rPr>
                <w:highlight w:val="green"/>
              </w:rPr>
              <w:t>100</w:t>
            </w:r>
          </w:p>
          <w:p w:rsidR="002A3E93" w:rsidRPr="0053219A" w:rsidRDefault="002A3E93" w:rsidP="002A3E93">
            <w:pPr>
              <w:pStyle w:val="Brdtext"/>
              <w:rPr>
                <w:highlight w:val="green"/>
              </w:rPr>
            </w:pPr>
          </w:p>
          <w:p w:rsidR="002A3E93" w:rsidRPr="008726EC" w:rsidRDefault="002A3E93" w:rsidP="002A3E93">
            <w:pPr>
              <w:pStyle w:val="Brdtext"/>
              <w:rPr>
                <w:highlight w:val="green"/>
              </w:rPr>
            </w:pPr>
            <w:r w:rsidRPr="0053219A">
              <w:rPr>
                <w:highlight w:val="green"/>
              </w:rPr>
              <w:t>88.9</w:t>
            </w:r>
          </w:p>
        </w:tc>
        <w:tc>
          <w:tcPr>
            <w:tcW w:w="1814" w:type="dxa"/>
            <w:noWrap/>
          </w:tcPr>
          <w:p w:rsidR="002A3E93" w:rsidRDefault="002A3E93" w:rsidP="002A3E93">
            <w:pPr>
              <w:pStyle w:val="Brdtext"/>
            </w:pPr>
          </w:p>
          <w:p w:rsidR="002A3E93" w:rsidRDefault="002A3E93" w:rsidP="002A3E93">
            <w:pPr>
              <w:pStyle w:val="Brdtext"/>
            </w:pPr>
          </w:p>
          <w:p w:rsidR="002A3E93" w:rsidRDefault="002A3E93" w:rsidP="002A3E93">
            <w:pPr>
              <w:pStyle w:val="Brdtext"/>
            </w:pPr>
          </w:p>
          <w:p w:rsidR="002A3E93" w:rsidRDefault="002A3E93" w:rsidP="002A3E93">
            <w:pPr>
              <w:pStyle w:val="Brdtext"/>
            </w:pPr>
          </w:p>
          <w:p w:rsidR="00437B07" w:rsidRDefault="00437B07" w:rsidP="002A3E93">
            <w:pPr>
              <w:pStyle w:val="Brdtext"/>
            </w:pPr>
          </w:p>
          <w:p w:rsidR="002A3E93" w:rsidRDefault="002A3E93" w:rsidP="002A3E93">
            <w:pPr>
              <w:pStyle w:val="Brdtext"/>
            </w:pPr>
            <w:proofErr w:type="spellStart"/>
            <w:r>
              <w:t>Evidence</w:t>
            </w:r>
            <w:proofErr w:type="spellEnd"/>
            <w:r>
              <w:t xml:space="preserve"> not </w:t>
            </w:r>
            <w:proofErr w:type="spellStart"/>
            <w:r>
              <w:t>provided</w:t>
            </w:r>
            <w:proofErr w:type="spellEnd"/>
          </w:p>
          <w:p w:rsidR="002A3E93" w:rsidRPr="00324325" w:rsidRDefault="002A3E93" w:rsidP="002A3E93">
            <w:pPr>
              <w:pStyle w:val="Brdtext"/>
            </w:pPr>
          </w:p>
        </w:tc>
      </w:tr>
      <w:tr w:rsidR="002A3E93" w:rsidRPr="00324325" w:rsidTr="00703701">
        <w:trPr>
          <w:trHeight w:val="315"/>
        </w:trPr>
        <w:tc>
          <w:tcPr>
            <w:tcW w:w="3909" w:type="dxa"/>
            <w:noWrap/>
            <w:hideMark/>
          </w:tcPr>
          <w:p w:rsidR="002A3E93" w:rsidRPr="008E44BF" w:rsidRDefault="002A3E93" w:rsidP="002A3E93">
            <w:pPr>
              <w:pStyle w:val="Brdtext"/>
              <w:rPr>
                <w:b/>
                <w:highlight w:val="yellow"/>
              </w:rPr>
            </w:pPr>
            <w:proofErr w:type="spellStart"/>
            <w:r w:rsidRPr="008E44BF">
              <w:rPr>
                <w:b/>
                <w:highlight w:val="yellow"/>
              </w:rPr>
              <w:t>Publication</w:t>
            </w:r>
            <w:proofErr w:type="spellEnd"/>
            <w:r w:rsidRPr="008E44BF">
              <w:rPr>
                <w:b/>
                <w:highlight w:val="yellow"/>
              </w:rPr>
              <w:t xml:space="preserve"> of SDG </w:t>
            </w:r>
            <w:proofErr w:type="spellStart"/>
            <w:r w:rsidRPr="008E44BF">
              <w:rPr>
                <w:b/>
                <w:highlight w:val="yellow"/>
              </w:rPr>
              <w:t>reports</w:t>
            </w:r>
            <w:proofErr w:type="spellEnd"/>
          </w:p>
        </w:tc>
        <w:tc>
          <w:tcPr>
            <w:tcW w:w="1723" w:type="dxa"/>
            <w:noWrap/>
            <w:hideMark/>
          </w:tcPr>
          <w:p w:rsidR="002A3E93" w:rsidRPr="008726EC" w:rsidRDefault="002A3E93" w:rsidP="002A3E93">
            <w:pPr>
              <w:pStyle w:val="Brdtext"/>
              <w:rPr>
                <w:highlight w:val="yellow"/>
              </w:rPr>
            </w:pPr>
            <w:r w:rsidRPr="008726EC">
              <w:rPr>
                <w:highlight w:val="yellow"/>
              </w:rPr>
              <w:t>27.2</w:t>
            </w:r>
            <w:r>
              <w:rPr>
                <w:highlight w:val="yellow"/>
              </w:rPr>
              <w:t>%</w:t>
            </w:r>
          </w:p>
        </w:tc>
        <w:tc>
          <w:tcPr>
            <w:tcW w:w="920" w:type="dxa"/>
            <w:noWrap/>
            <w:hideMark/>
          </w:tcPr>
          <w:p w:rsidR="002A3E93" w:rsidRPr="008726EC" w:rsidRDefault="002A3E93" w:rsidP="002A3E93">
            <w:pPr>
              <w:pStyle w:val="Brdtext"/>
              <w:rPr>
                <w:highlight w:val="yellow"/>
              </w:rPr>
            </w:pPr>
            <w:r w:rsidRPr="008726EC">
              <w:rPr>
                <w:highlight w:val="yellow"/>
              </w:rPr>
              <w:t>67.4</w:t>
            </w:r>
          </w:p>
        </w:tc>
        <w:tc>
          <w:tcPr>
            <w:tcW w:w="1814" w:type="dxa"/>
            <w:noWrap/>
          </w:tcPr>
          <w:p w:rsidR="002A3E93" w:rsidRPr="00451501" w:rsidRDefault="002A3E93" w:rsidP="002A3E93">
            <w:pPr>
              <w:pStyle w:val="Brdtext"/>
              <w:rPr>
                <w:highlight w:val="red"/>
              </w:rPr>
            </w:pPr>
          </w:p>
        </w:tc>
      </w:tr>
      <w:tr w:rsidR="002A3E93" w:rsidRPr="00324325" w:rsidTr="00703701">
        <w:trPr>
          <w:trHeight w:val="315"/>
        </w:trPr>
        <w:tc>
          <w:tcPr>
            <w:tcW w:w="3909" w:type="dxa"/>
            <w:noWrap/>
            <w:hideMark/>
          </w:tcPr>
          <w:p w:rsidR="002A3E93" w:rsidRPr="008E44BF" w:rsidRDefault="002A3E93" w:rsidP="002A3E93">
            <w:pPr>
              <w:pStyle w:val="Brdtext"/>
              <w:rPr>
                <w:b/>
                <w:highlight w:val="green"/>
              </w:rPr>
            </w:pPr>
            <w:proofErr w:type="spellStart"/>
            <w:r w:rsidRPr="008E44BF">
              <w:rPr>
                <w:b/>
                <w:highlight w:val="green"/>
              </w:rPr>
              <w:t>Education</w:t>
            </w:r>
            <w:proofErr w:type="spellEnd"/>
            <w:r w:rsidRPr="008E44BF">
              <w:rPr>
                <w:b/>
                <w:highlight w:val="green"/>
              </w:rPr>
              <w:t xml:space="preserve"> for the SDGs</w:t>
            </w:r>
          </w:p>
        </w:tc>
        <w:tc>
          <w:tcPr>
            <w:tcW w:w="1723" w:type="dxa"/>
            <w:noWrap/>
            <w:hideMark/>
          </w:tcPr>
          <w:p w:rsidR="002A3E93" w:rsidRPr="008726EC" w:rsidRDefault="002A3E93" w:rsidP="002A3E93">
            <w:pPr>
              <w:pStyle w:val="Brdtext"/>
              <w:rPr>
                <w:highlight w:val="green"/>
              </w:rPr>
            </w:pPr>
            <w:r w:rsidRPr="008726EC">
              <w:rPr>
                <w:highlight w:val="green"/>
              </w:rPr>
              <w:t>27.2</w:t>
            </w:r>
            <w:r>
              <w:rPr>
                <w:highlight w:val="green"/>
              </w:rPr>
              <w:t>%</w:t>
            </w:r>
          </w:p>
        </w:tc>
        <w:tc>
          <w:tcPr>
            <w:tcW w:w="920" w:type="dxa"/>
            <w:noWrap/>
            <w:hideMark/>
          </w:tcPr>
          <w:p w:rsidR="002A3E93" w:rsidRPr="008726EC" w:rsidRDefault="002A3E93" w:rsidP="002A3E93">
            <w:pPr>
              <w:pStyle w:val="Brdtext"/>
              <w:rPr>
                <w:highlight w:val="green"/>
              </w:rPr>
            </w:pPr>
            <w:r w:rsidRPr="008726EC">
              <w:rPr>
                <w:highlight w:val="green"/>
              </w:rPr>
              <w:t>100</w:t>
            </w:r>
          </w:p>
        </w:tc>
        <w:tc>
          <w:tcPr>
            <w:tcW w:w="1814" w:type="dxa"/>
            <w:noWrap/>
          </w:tcPr>
          <w:p w:rsidR="002A3E93" w:rsidRPr="00324325" w:rsidRDefault="002A3E93" w:rsidP="002A3E93">
            <w:pPr>
              <w:pStyle w:val="Brdtext"/>
            </w:pPr>
          </w:p>
        </w:tc>
      </w:tr>
    </w:tbl>
    <w:p w:rsidR="00324325" w:rsidRDefault="00324325" w:rsidP="00324325">
      <w:pPr>
        <w:pStyle w:val="Brdtext"/>
        <w:rPr>
          <w:sz w:val="20"/>
        </w:rPr>
      </w:pPr>
    </w:p>
    <w:p w:rsidR="00652D4D" w:rsidRDefault="00652D4D" w:rsidP="00D003BB">
      <w:pPr>
        <w:pStyle w:val="Brdtext"/>
      </w:pPr>
      <w:r>
        <w:t xml:space="preserve">KTH </w:t>
      </w:r>
      <w:r w:rsidR="00451501">
        <w:t>presterar</w:t>
      </w:r>
      <w:r>
        <w:t xml:space="preserve"> genomgående mycket väl inom den viktigaste </w:t>
      </w:r>
      <w:proofErr w:type="spellStart"/>
      <w:r>
        <w:t>SDG:n</w:t>
      </w:r>
      <w:proofErr w:type="spellEnd"/>
      <w:r w:rsidR="004A1500">
        <w:t xml:space="preserve"> i rankningen</w:t>
      </w:r>
      <w:r>
        <w:t xml:space="preserve">. Möjlighet till </w:t>
      </w:r>
      <w:r w:rsidRPr="00D003BB">
        <w:t>förbättring</w:t>
      </w:r>
      <w:r>
        <w:t xml:space="preserve"> torde finnas inom publicerade SDG rapporter</w:t>
      </w:r>
      <w:r w:rsidR="003F77BA">
        <w:t xml:space="preserve"> samt att presentera ett bättre underlag inom</w:t>
      </w:r>
      <w:r w:rsidR="003F77BA" w:rsidRPr="003F77BA">
        <w:t xml:space="preserve"> </w:t>
      </w:r>
      <w:r w:rsidR="00C23768">
        <w:t xml:space="preserve">indikatorn </w:t>
      </w:r>
      <w:proofErr w:type="spellStart"/>
      <w:r w:rsidR="003F77BA" w:rsidRPr="003F77BA">
        <w:t>Collaborate</w:t>
      </w:r>
      <w:proofErr w:type="spellEnd"/>
      <w:r w:rsidR="003F77BA" w:rsidRPr="003F77BA">
        <w:t xml:space="preserve"> </w:t>
      </w:r>
      <w:proofErr w:type="spellStart"/>
      <w:r w:rsidR="003F77BA" w:rsidRPr="003F77BA">
        <w:t>internationally</w:t>
      </w:r>
      <w:proofErr w:type="spellEnd"/>
      <w:r w:rsidR="003F77BA" w:rsidRPr="003F77BA">
        <w:t xml:space="preserve"> to </w:t>
      </w:r>
      <w:proofErr w:type="spellStart"/>
      <w:r w:rsidR="003F77BA" w:rsidRPr="003F77BA">
        <w:t>capture</w:t>
      </w:r>
      <w:proofErr w:type="spellEnd"/>
      <w:r w:rsidR="003F77BA" w:rsidRPr="003F77BA">
        <w:t xml:space="preserve"> data </w:t>
      </w:r>
      <w:proofErr w:type="spellStart"/>
      <w:r w:rsidR="003F77BA" w:rsidRPr="003F77BA">
        <w:t>relating</w:t>
      </w:r>
      <w:proofErr w:type="spellEnd"/>
      <w:r w:rsidR="003F77BA" w:rsidRPr="003F77BA">
        <w:t xml:space="preserve"> to SDGs</w:t>
      </w:r>
      <w:r w:rsidR="003F77BA">
        <w:t>.</w:t>
      </w:r>
    </w:p>
    <w:p w:rsidR="002C0341" w:rsidRDefault="002C0341" w:rsidP="00D003BB">
      <w:pPr>
        <w:pStyle w:val="Brdtext"/>
      </w:pPr>
    </w:p>
    <w:p w:rsidR="002C0341" w:rsidRDefault="00232CD4" w:rsidP="002C0341">
      <w:pPr>
        <w:pStyle w:val="Rubrik2"/>
      </w:pPr>
      <w:bookmarkStart w:id="17" w:name="_Toc52351584"/>
      <w:r>
        <w:t>Avslutning</w:t>
      </w:r>
      <w:bookmarkEnd w:id="17"/>
    </w:p>
    <w:p w:rsidR="002C0341" w:rsidRDefault="002C0341" w:rsidP="002C0341">
      <w:pPr>
        <w:pStyle w:val="Brdtext"/>
      </w:pPr>
      <w:r>
        <w:t>THE Impact Rankings</w:t>
      </w:r>
      <w:r w:rsidR="006848FB">
        <w:t xml:space="preserve"> vänder sig mot FN:s hållbarhetsmål </w:t>
      </w:r>
      <w:r w:rsidR="00C970BF">
        <w:t xml:space="preserve">och </w:t>
      </w:r>
      <w:r w:rsidR="006848FB">
        <w:t xml:space="preserve">har inför </w:t>
      </w:r>
      <w:r w:rsidR="006555B8">
        <w:t>den andra upplagan av denna rankning</w:t>
      </w:r>
      <w:r w:rsidR="006848FB">
        <w:t xml:space="preserve"> utökats med sex nya </w:t>
      </w:r>
      <w:proofErr w:type="spellStart"/>
      <w:r w:rsidR="006848FB">
        <w:t>SDG:er</w:t>
      </w:r>
      <w:proofErr w:type="spellEnd"/>
      <w:r w:rsidR="006848FB">
        <w:t xml:space="preserve">, 297 universitet har tillkommit samt några metodologiska korrigeringar har genomförts. Förändringarna har resulterat i stora skiftningar sett till resultat jämfört med förgående mätning. </w:t>
      </w:r>
    </w:p>
    <w:p w:rsidR="006848FB" w:rsidRDefault="007028BD" w:rsidP="002C0341">
      <w:pPr>
        <w:pStyle w:val="Brdtext"/>
      </w:pPr>
      <w:r>
        <w:t>Sett till resultat domineras rankningen</w:t>
      </w:r>
      <w:r w:rsidR="006848FB">
        <w:t xml:space="preserve"> av universitet från brittiska öarna, Canada, Australien och Nya Zealand. Flera japanska, ryska och turkiska </w:t>
      </w:r>
      <w:r>
        <w:t>universitet</w:t>
      </w:r>
      <w:r w:rsidR="006848FB">
        <w:t xml:space="preserve"> har lämnat in data. </w:t>
      </w:r>
    </w:p>
    <w:p w:rsidR="006848FB" w:rsidRDefault="006848FB" w:rsidP="006848FB">
      <w:pPr>
        <w:pStyle w:val="Brdtext"/>
      </w:pPr>
      <w:r>
        <w:t xml:space="preserve">Vissa länder och lärosäten presterar bättre inom vissa </w:t>
      </w:r>
      <w:proofErr w:type="spellStart"/>
      <w:r>
        <w:t>SDG:er</w:t>
      </w:r>
      <w:proofErr w:type="spellEnd"/>
      <w:r>
        <w:t xml:space="preserve"> än andra, framför allt  beroende på specialisering och ämnesmässig relevans. Några universitet från Sydostasien och Syd- och Mellanamerika presterar mycket bra inom enstaka </w:t>
      </w:r>
      <w:proofErr w:type="spellStart"/>
      <w:r>
        <w:t>SDG:er</w:t>
      </w:r>
      <w:proofErr w:type="spellEnd"/>
      <w:r>
        <w:t xml:space="preserve">, men har svårare att hävda sig i den totala rankningen. </w:t>
      </w:r>
    </w:p>
    <w:p w:rsidR="006848FB" w:rsidRDefault="006848FB" w:rsidP="006848FB">
      <w:pPr>
        <w:pStyle w:val="Brdtext"/>
      </w:pPr>
      <w:r>
        <w:lastRenderedPageBreak/>
        <w:t xml:space="preserve">Resultatet för den totala rankningen baseras på hur respektive lärosäte presterar inom SDG 17 </w:t>
      </w:r>
      <w:r w:rsidRPr="00F27647">
        <w:t xml:space="preserve">Partnership for the </w:t>
      </w:r>
      <w:proofErr w:type="spellStart"/>
      <w:r w:rsidRPr="00F27647">
        <w:t>Goals</w:t>
      </w:r>
      <w:proofErr w:type="spellEnd"/>
      <w:r>
        <w:t xml:space="preserve">, som är obligatorisk och viktad 22 procent, samt de tre främsta resultaten för övriga </w:t>
      </w:r>
      <w:proofErr w:type="spellStart"/>
      <w:r>
        <w:t>SDG:er</w:t>
      </w:r>
      <w:proofErr w:type="spellEnd"/>
      <w:r>
        <w:t xml:space="preserve"> där lärosätet har rapporterat in data, där respektive SDG viktas 26 procent. </w:t>
      </w:r>
    </w:p>
    <w:p w:rsidR="006848FB" w:rsidRPr="00CE2352" w:rsidRDefault="006848FB" w:rsidP="006848FB">
      <w:pPr>
        <w:pStyle w:val="Brdtext"/>
      </w:pPr>
      <w:r>
        <w:t xml:space="preserve">Rankingen består totalt av 223 indikatorer. </w:t>
      </w:r>
      <w:r w:rsidR="006555B8">
        <w:t>Poängsättningen b</w:t>
      </w:r>
      <w:r w:rsidR="007C318D">
        <w:t>eräknas</w:t>
      </w:r>
      <w:r w:rsidR="006555B8">
        <w:t xml:space="preserve"> </w:t>
      </w:r>
      <w:r w:rsidR="009B750E">
        <w:t>genom</w:t>
      </w:r>
      <w:r w:rsidR="006555B8">
        <w:t xml:space="preserve"> Z-scores. </w:t>
      </w:r>
      <w:r w:rsidR="007028BD">
        <w:t>I</w:t>
      </w:r>
      <w:r>
        <w:t xml:space="preserve">ndikatorerna </w:t>
      </w:r>
      <w:r w:rsidR="007028BD">
        <w:t>baseras på</w:t>
      </w:r>
      <w:r>
        <w:t xml:space="preserve"> bibliometri, andelsmått, per capitamått och </w:t>
      </w:r>
      <w:r w:rsidR="006555B8">
        <w:t xml:space="preserve">kvalitativa </w:t>
      </w:r>
      <w:r>
        <w:t xml:space="preserve">bedömningar av texter som redovisas genom </w:t>
      </w:r>
      <w:proofErr w:type="spellStart"/>
      <w:r>
        <w:t>urlar</w:t>
      </w:r>
      <w:proofErr w:type="spellEnd"/>
      <w:r>
        <w:t xml:space="preserve"> eller </w:t>
      </w:r>
      <w:proofErr w:type="spellStart"/>
      <w:r>
        <w:t>pdf:er</w:t>
      </w:r>
      <w:proofErr w:type="spellEnd"/>
      <w:r>
        <w:t xml:space="preserve">. </w:t>
      </w:r>
    </w:p>
    <w:p w:rsidR="006848FB" w:rsidRDefault="006848FB" w:rsidP="006848FB">
      <w:pPr>
        <w:pStyle w:val="Brdtext"/>
      </w:pPr>
      <w:r>
        <w:t xml:space="preserve">Den främsta anledningen till KTH:s nedgång från placering 7 till 77 är att </w:t>
      </w:r>
      <w:r w:rsidR="006555B8">
        <w:t>KTH</w:t>
      </w:r>
      <w:r>
        <w:t xml:space="preserve"> tappat inom de båda </w:t>
      </w:r>
      <w:proofErr w:type="spellStart"/>
      <w:r>
        <w:t>SDG:erna</w:t>
      </w:r>
      <w:proofErr w:type="spellEnd"/>
      <w:r>
        <w:t xml:space="preserve"> där vi presterade bäst 2019, det vill säga SDG 9 </w:t>
      </w:r>
      <w:r w:rsidRPr="00BD0F5F">
        <w:t xml:space="preserve">Industry, Innovation and </w:t>
      </w:r>
      <w:proofErr w:type="spellStart"/>
      <w:r w:rsidRPr="00BD0F5F">
        <w:t>Infrastructure</w:t>
      </w:r>
      <w:proofErr w:type="spellEnd"/>
      <w:r>
        <w:t xml:space="preserve">, där vi rankades som nr 3, och SDG 8 </w:t>
      </w:r>
      <w:proofErr w:type="spellStart"/>
      <w:r w:rsidRPr="00BD0F5F">
        <w:t>Decent</w:t>
      </w:r>
      <w:proofErr w:type="spellEnd"/>
      <w:r w:rsidRPr="00BD0F5F">
        <w:t xml:space="preserve"> </w:t>
      </w:r>
      <w:proofErr w:type="spellStart"/>
      <w:r w:rsidRPr="00BD0F5F">
        <w:t>Work</w:t>
      </w:r>
      <w:proofErr w:type="spellEnd"/>
      <w:r w:rsidRPr="00BD0F5F">
        <w:t xml:space="preserve"> and </w:t>
      </w:r>
      <w:proofErr w:type="spellStart"/>
      <w:r w:rsidRPr="00BD0F5F">
        <w:t>Economic</w:t>
      </w:r>
      <w:proofErr w:type="spellEnd"/>
      <w:r w:rsidRPr="00BD0F5F">
        <w:t xml:space="preserve"> </w:t>
      </w:r>
      <w:proofErr w:type="spellStart"/>
      <w:r w:rsidRPr="00BD0F5F">
        <w:t>Growth</w:t>
      </w:r>
      <w:proofErr w:type="spellEnd"/>
      <w:r>
        <w:t xml:space="preserve"> där vi rankades som nr 2. Här rankas vi nu istället </w:t>
      </w:r>
      <w:r w:rsidR="00022308">
        <w:t>inom intervallet</w:t>
      </w:r>
      <w:r>
        <w:t xml:space="preserve"> 101-200 respektive 92. </w:t>
      </w:r>
    </w:p>
    <w:p w:rsidR="006848FB" w:rsidRDefault="00BD38E4" w:rsidP="006848FB">
      <w:pPr>
        <w:pStyle w:val="Brdtext"/>
      </w:pPr>
      <w:r>
        <w:t>Inom SDG 9 har KTH</w:t>
      </w:r>
      <w:r w:rsidR="006848FB">
        <w:t xml:space="preserve"> </w:t>
      </w:r>
      <w:r w:rsidR="007028BD">
        <w:t>tappat mark</w:t>
      </w:r>
      <w:r w:rsidR="006848FB">
        <w:t xml:space="preserve"> ino</w:t>
      </w:r>
      <w:r w:rsidR="008A7489">
        <w:t xml:space="preserve">m </w:t>
      </w:r>
      <w:r w:rsidR="00917711">
        <w:t xml:space="preserve">indikatorn </w:t>
      </w:r>
      <w:r w:rsidR="008A7489">
        <w:t xml:space="preserve">Research </w:t>
      </w:r>
      <w:proofErr w:type="spellStart"/>
      <w:r w:rsidR="008A7489">
        <w:t>Income</w:t>
      </w:r>
      <w:proofErr w:type="spellEnd"/>
      <w:r w:rsidR="008A7489">
        <w:t xml:space="preserve"> from I</w:t>
      </w:r>
      <w:r w:rsidR="00CE2352">
        <w:t xml:space="preserve">ndustry. </w:t>
      </w:r>
      <w:r w:rsidR="006848FB">
        <w:t>År 2019 efterfrågades istället den totala forskningsinkomsten för lärosätet</w:t>
      </w:r>
      <w:r w:rsidR="00893DE7">
        <w:t>, där KTH presterade betydligt bättre</w:t>
      </w:r>
      <w:r w:rsidR="006848FB">
        <w:t xml:space="preserve">. En annan anledning till tappet är att Delft, École Polytechnique, MIT och flera andra relativt namnkunniga universitet lämnat in data på denna SDG och </w:t>
      </w:r>
      <w:r w:rsidR="00893DE7">
        <w:t xml:space="preserve">presterar bättre </w:t>
      </w:r>
      <w:r w:rsidR="006848FB">
        <w:t>än KTH.</w:t>
      </w:r>
    </w:p>
    <w:p w:rsidR="002C0341" w:rsidRDefault="006848FB" w:rsidP="006848FB">
      <w:pPr>
        <w:pStyle w:val="Brdtext"/>
      </w:pPr>
      <w:r>
        <w:t xml:space="preserve">Inom SDG 8 </w:t>
      </w:r>
      <w:proofErr w:type="spellStart"/>
      <w:r w:rsidRPr="00BD0F5F">
        <w:t>Decent</w:t>
      </w:r>
      <w:proofErr w:type="spellEnd"/>
      <w:r w:rsidRPr="00BD0F5F">
        <w:t xml:space="preserve"> </w:t>
      </w:r>
      <w:proofErr w:type="spellStart"/>
      <w:r w:rsidRPr="00BD0F5F">
        <w:t>Work</w:t>
      </w:r>
      <w:proofErr w:type="spellEnd"/>
      <w:r w:rsidRPr="00BD0F5F">
        <w:t xml:space="preserve"> and </w:t>
      </w:r>
      <w:proofErr w:type="spellStart"/>
      <w:r w:rsidRPr="00BD0F5F">
        <w:t>Economic</w:t>
      </w:r>
      <w:proofErr w:type="spellEnd"/>
      <w:r w:rsidRPr="00BD0F5F">
        <w:t xml:space="preserve"> </w:t>
      </w:r>
      <w:proofErr w:type="spellStart"/>
      <w:r w:rsidRPr="00BD0F5F">
        <w:t>Growth</w:t>
      </w:r>
      <w:proofErr w:type="spellEnd"/>
      <w:r>
        <w:t xml:space="preserve"> har indikatorn </w:t>
      </w:r>
      <w:proofErr w:type="spellStart"/>
      <w:r w:rsidRPr="00904A2A">
        <w:t>Expenditure</w:t>
      </w:r>
      <w:proofErr w:type="spellEnd"/>
      <w:r w:rsidRPr="00904A2A">
        <w:t xml:space="preserve"> per </w:t>
      </w:r>
      <w:proofErr w:type="spellStart"/>
      <w:r w:rsidRPr="00904A2A">
        <w:t>employee</w:t>
      </w:r>
      <w:proofErr w:type="spellEnd"/>
      <w:r>
        <w:t xml:space="preserve"> tillkommit och här tilldelades vi endast 40,4 poäng. KTH har </w:t>
      </w:r>
      <w:r w:rsidR="008A7489">
        <w:t xml:space="preserve">också </w:t>
      </w:r>
      <w:r>
        <w:t xml:space="preserve">tappat rejält inom indikatorerna </w:t>
      </w:r>
      <w:proofErr w:type="spellStart"/>
      <w:r w:rsidRPr="00904A2A">
        <w:t>Employment</w:t>
      </w:r>
      <w:proofErr w:type="spellEnd"/>
      <w:r w:rsidRPr="00904A2A">
        <w:t xml:space="preserve"> </w:t>
      </w:r>
      <w:proofErr w:type="spellStart"/>
      <w:r w:rsidRPr="00904A2A">
        <w:t>practices</w:t>
      </w:r>
      <w:proofErr w:type="spellEnd"/>
      <w:r w:rsidR="008A7489">
        <w:t xml:space="preserve"> </w:t>
      </w:r>
      <w:r>
        <w:t xml:space="preserve">och </w:t>
      </w:r>
      <w:r w:rsidRPr="00904A2A">
        <w:t xml:space="preserve">Proportion of students </w:t>
      </w:r>
      <w:proofErr w:type="spellStart"/>
      <w:r w:rsidRPr="00904A2A">
        <w:t>taking</w:t>
      </w:r>
      <w:proofErr w:type="spellEnd"/>
      <w:r w:rsidRPr="00904A2A">
        <w:t xml:space="preserve"> </w:t>
      </w:r>
      <w:proofErr w:type="spellStart"/>
      <w:r w:rsidRPr="00904A2A">
        <w:t>work</w:t>
      </w:r>
      <w:proofErr w:type="spellEnd"/>
      <w:r w:rsidRPr="00904A2A">
        <w:t xml:space="preserve"> </w:t>
      </w:r>
      <w:proofErr w:type="spellStart"/>
      <w:r w:rsidRPr="00904A2A">
        <w:t>placements</w:t>
      </w:r>
      <w:proofErr w:type="spellEnd"/>
      <w:r w:rsidR="00CE2352">
        <w:t>.</w:t>
      </w:r>
    </w:p>
    <w:p w:rsidR="008544DB" w:rsidRDefault="004A1500" w:rsidP="006848FB">
      <w:pPr>
        <w:pStyle w:val="Brdtext"/>
      </w:pPr>
      <w:r>
        <w:t xml:space="preserve">Rankningen </w:t>
      </w:r>
      <w:r w:rsidR="00F27F3E">
        <w:t>premier</w:t>
      </w:r>
      <w:r>
        <w:t>a</w:t>
      </w:r>
      <w:r w:rsidR="00CD5647">
        <w:t>r</w:t>
      </w:r>
      <w:r>
        <w:t xml:space="preserve"> insatser som görs på eget initiativ och av universitetet själv snarare än åtgärder som beslutats via lagstiftning och/ eller genomförs i offentlig regi. Exempel på detta är att det är bättre att ha </w:t>
      </w:r>
      <w:proofErr w:type="gramStart"/>
      <w:r>
        <w:t>egna policys</w:t>
      </w:r>
      <w:proofErr w:type="gramEnd"/>
      <w:r>
        <w:t xml:space="preserve"> än att hä</w:t>
      </w:r>
      <w:r w:rsidR="007028BD">
        <w:t>nvisa</w:t>
      </w:r>
      <w:r>
        <w:t xml:space="preserve"> till befintlig lagstiftning samt att det </w:t>
      </w:r>
      <w:r w:rsidR="00022308">
        <w:t>är</w:t>
      </w:r>
      <w:r>
        <w:t xml:space="preserve"> bättre att ha </w:t>
      </w:r>
      <w:r w:rsidR="007028BD">
        <w:t xml:space="preserve">en </w:t>
      </w:r>
      <w:r w:rsidR="00F27F3E">
        <w:t xml:space="preserve">egen förskola </w:t>
      </w:r>
      <w:r>
        <w:t xml:space="preserve">än </w:t>
      </w:r>
      <w:r w:rsidR="007028BD">
        <w:t>en offentlig</w:t>
      </w:r>
      <w:r>
        <w:t>. En annan problematik är att svensk lagstiftning söker säkerställa lika rättigheter för samtliga medborgare, snarare än att säkerställa positiv särbehandling för olika grupper</w:t>
      </w:r>
      <w:r w:rsidR="007028BD">
        <w:t>, vilket denna rankning premierar</w:t>
      </w:r>
      <w:r>
        <w:t xml:space="preserve">. </w:t>
      </w:r>
    </w:p>
    <w:p w:rsidR="007028BD" w:rsidRDefault="008544DB" w:rsidP="006848FB">
      <w:pPr>
        <w:pStyle w:val="Brdtext"/>
      </w:pPr>
      <w:r>
        <w:t xml:space="preserve">Förbättringsmöjligheter finns </w:t>
      </w:r>
      <w:r w:rsidR="000A59A2">
        <w:t xml:space="preserve">framför allt </w:t>
      </w:r>
      <w:r>
        <w:t xml:space="preserve">sett till de texter/ </w:t>
      </w:r>
      <w:proofErr w:type="spellStart"/>
      <w:r>
        <w:t>urlar</w:t>
      </w:r>
      <w:proofErr w:type="spellEnd"/>
      <w:r>
        <w:t xml:space="preserve"> med ”best </w:t>
      </w:r>
      <w:proofErr w:type="spellStart"/>
      <w:r>
        <w:t>practices</w:t>
      </w:r>
      <w:proofErr w:type="spellEnd"/>
      <w:r>
        <w:t>” som rapporterats in. Härvid krävs i en del fall bättre underlag samt att man bör ställa sig frågan huruvida man bör ta fram ytterligare policys</w:t>
      </w:r>
      <w:r w:rsidR="000713FF">
        <w:t xml:space="preserve"> och utöka redan befintliga</w:t>
      </w:r>
      <w:r w:rsidR="00CC1B28">
        <w:t>, så att de täcker allt som efterfrågas av THE,</w:t>
      </w:r>
      <w:r>
        <w:t xml:space="preserve"> samt att man bör söka utöka andelen texter på engelska. </w:t>
      </w:r>
    </w:p>
    <w:p w:rsidR="004A1500" w:rsidRPr="008F5D9B" w:rsidRDefault="004A1500" w:rsidP="006848FB">
      <w:pPr>
        <w:pStyle w:val="Brdtext"/>
      </w:pPr>
      <w:r>
        <w:t>I egenskap av ett forskningstungt tekniskt universitet har KTH svårt att hävda sig inom områden som ligger utanför kärnverksamheten sett till forskning och utbildning. Rankningen gynnar bredduniversitet snarare</w:t>
      </w:r>
      <w:r w:rsidR="00F27F3E">
        <w:t xml:space="preserve"> än </w:t>
      </w:r>
      <w:r w:rsidR="00952D12">
        <w:t>fack</w:t>
      </w:r>
      <w:r w:rsidR="00F27F3E">
        <w:t>universitet.</w:t>
      </w:r>
    </w:p>
    <w:sectPr w:rsidR="004A1500" w:rsidRPr="008F5D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DB" w:rsidRDefault="00946DDB" w:rsidP="00AB37AC">
      <w:r>
        <w:separator/>
      </w:r>
    </w:p>
  </w:endnote>
  <w:endnote w:type="continuationSeparator" w:id="0">
    <w:p w:rsidR="00946DDB" w:rsidRDefault="00946DD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17176"/>
      <w:docPartObj>
        <w:docPartGallery w:val="Page Numbers (Bottom of Page)"/>
        <w:docPartUnique/>
      </w:docPartObj>
    </w:sdtPr>
    <w:sdtEndPr/>
    <w:sdtContent>
      <w:p w:rsidR="00AB475B" w:rsidRDefault="00AB475B">
        <w:pPr>
          <w:pStyle w:val="Sidfot"/>
          <w:jc w:val="center"/>
        </w:pPr>
        <w:r>
          <w:fldChar w:fldCharType="begin"/>
        </w:r>
        <w:r>
          <w:instrText>PAGE   \* MERGEFORMAT</w:instrText>
        </w:r>
        <w:r>
          <w:fldChar w:fldCharType="separate"/>
        </w:r>
        <w:r w:rsidR="00DA2C92">
          <w:rPr>
            <w:noProof/>
          </w:rPr>
          <w:t>20</w:t>
        </w:r>
        <w:r>
          <w:fldChar w:fldCharType="end"/>
        </w:r>
      </w:p>
    </w:sdtContent>
  </w:sdt>
  <w:p w:rsidR="00AB475B" w:rsidRDefault="00AB47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DB" w:rsidRDefault="00946DDB" w:rsidP="00AB37AC">
      <w:r>
        <w:separator/>
      </w:r>
    </w:p>
  </w:footnote>
  <w:footnote w:type="continuationSeparator" w:id="0">
    <w:p w:rsidR="00946DDB" w:rsidRDefault="00946DDB" w:rsidP="00AB37AC">
      <w:r>
        <w:continuationSeparator/>
      </w:r>
    </w:p>
  </w:footnote>
  <w:footnote w:id="1">
    <w:p w:rsidR="00AB475B" w:rsidRPr="00E525BD" w:rsidRDefault="00AB475B" w:rsidP="00B94A38">
      <w:pPr>
        <w:pStyle w:val="Brdtext"/>
        <w:rPr>
          <w:rFonts w:ascii="Calibri" w:eastAsia="Times New Roman" w:hAnsi="Calibri" w:cs="Calibri"/>
          <w:sz w:val="24"/>
          <w:szCs w:val="24"/>
          <w:lang w:eastAsia="sv-SE"/>
        </w:rPr>
      </w:pPr>
      <w:r>
        <w:rPr>
          <w:rStyle w:val="Fotnotsreferens"/>
        </w:rPr>
        <w:footnoteRef/>
      </w:r>
      <w:r>
        <w:t xml:space="preserve"> </w:t>
      </w:r>
      <w:r w:rsidRPr="00585D6D">
        <w:rPr>
          <w:sz w:val="20"/>
        </w:rPr>
        <w:t xml:space="preserve">En metodiskt bättre lösning hade varit att också fortsättningsvis låta SDG 17 Partnership for the </w:t>
      </w:r>
      <w:proofErr w:type="spellStart"/>
      <w:r w:rsidRPr="00585D6D">
        <w:rPr>
          <w:sz w:val="20"/>
        </w:rPr>
        <w:t>Goals</w:t>
      </w:r>
      <w:proofErr w:type="spellEnd"/>
      <w:r w:rsidRPr="00585D6D">
        <w:rPr>
          <w:sz w:val="20"/>
        </w:rPr>
        <w:t xml:space="preserve"> vara obligatorisk men att addera de fyra bästa resultat från övriga </w:t>
      </w:r>
      <w:proofErr w:type="spellStart"/>
      <w:r w:rsidRPr="00585D6D">
        <w:rPr>
          <w:sz w:val="20"/>
        </w:rPr>
        <w:t>SDG:er</w:t>
      </w:r>
      <w:proofErr w:type="spellEnd"/>
      <w:r w:rsidRPr="00585D6D">
        <w:rPr>
          <w:sz w:val="20"/>
        </w:rPr>
        <w:t xml:space="preserve"> där lärosätet lämnat in data.</w:t>
      </w:r>
      <w:r>
        <w:t xml:space="preserve"> </w:t>
      </w:r>
    </w:p>
    <w:p w:rsidR="00AB475B" w:rsidRDefault="00AB475B" w:rsidP="00B94A38">
      <w:pPr>
        <w:pStyle w:val="Fotnotstext"/>
      </w:pPr>
    </w:p>
  </w:footnote>
  <w:footnote w:id="2">
    <w:p w:rsidR="00AB475B" w:rsidRPr="007E48B8" w:rsidRDefault="00AB475B">
      <w:pPr>
        <w:pStyle w:val="Fotnotstext"/>
        <w:rPr>
          <w:lang w:val="en-US"/>
        </w:rPr>
      </w:pPr>
      <w:r>
        <w:rPr>
          <w:rStyle w:val="Fotnotsreferens"/>
        </w:rPr>
        <w:footnoteRef/>
      </w:r>
      <w:r w:rsidRPr="007E48B8">
        <w:rPr>
          <w:lang w:val="en-US"/>
        </w:rPr>
        <w:t xml:space="preserve"> </w:t>
      </w:r>
      <w:r w:rsidRPr="00C97FB2">
        <w:rPr>
          <w:rStyle w:val="BrdtextChar"/>
          <w:sz w:val="20"/>
          <w:lang w:val="en-US"/>
        </w:rPr>
        <w:t xml:space="preserve">This metric </w:t>
      </w:r>
      <w:proofErr w:type="gramStart"/>
      <w:r w:rsidRPr="00C97FB2">
        <w:rPr>
          <w:rStyle w:val="BrdtextChar"/>
          <w:sz w:val="20"/>
          <w:lang w:val="en-US"/>
        </w:rPr>
        <w:t>is calculated</w:t>
      </w:r>
      <w:proofErr w:type="gramEnd"/>
      <w:r w:rsidRPr="00C97FB2">
        <w:rPr>
          <w:rStyle w:val="BrdtextChar"/>
          <w:sz w:val="20"/>
          <w:lang w:val="en-US"/>
        </w:rPr>
        <w:t xml:space="preserve"> by dividing the university expenditure by the number of employees. It is then </w:t>
      </w:r>
      <w:proofErr w:type="spellStart"/>
      <w:r w:rsidRPr="00C97FB2">
        <w:rPr>
          <w:rStyle w:val="BrdtextChar"/>
          <w:sz w:val="20"/>
          <w:lang w:val="en-US"/>
        </w:rPr>
        <w:t>normalised</w:t>
      </w:r>
      <w:proofErr w:type="spellEnd"/>
      <w:r w:rsidRPr="00C97FB2">
        <w:rPr>
          <w:rStyle w:val="BrdtextChar"/>
          <w:sz w:val="20"/>
          <w:lang w:val="en-US"/>
        </w:rPr>
        <w:t xml:space="preserve"> by the regional GDP per capita. It aims to explore the extent to which the university is a significant economic driver locally.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104011BD"/>
    <w:multiLevelType w:val="multilevel"/>
    <w:tmpl w:val="4F8E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47"/>
    <w:rsid w:val="000133EC"/>
    <w:rsid w:val="0001566C"/>
    <w:rsid w:val="00022308"/>
    <w:rsid w:val="0003172E"/>
    <w:rsid w:val="00033FB6"/>
    <w:rsid w:val="00037A26"/>
    <w:rsid w:val="0006003B"/>
    <w:rsid w:val="00066F24"/>
    <w:rsid w:val="000713FF"/>
    <w:rsid w:val="0007415D"/>
    <w:rsid w:val="00083E48"/>
    <w:rsid w:val="00097F05"/>
    <w:rsid w:val="000A59A2"/>
    <w:rsid w:val="000A5FE9"/>
    <w:rsid w:val="000A6AD8"/>
    <w:rsid w:val="000A6BBE"/>
    <w:rsid w:val="000A6EC3"/>
    <w:rsid w:val="000B05ED"/>
    <w:rsid w:val="000B22CA"/>
    <w:rsid w:val="000B3AA6"/>
    <w:rsid w:val="000B3DF0"/>
    <w:rsid w:val="000B4D37"/>
    <w:rsid w:val="000C1F61"/>
    <w:rsid w:val="000C272F"/>
    <w:rsid w:val="000E0B56"/>
    <w:rsid w:val="000E54ED"/>
    <w:rsid w:val="000E67A4"/>
    <w:rsid w:val="000F0D78"/>
    <w:rsid w:val="001059F8"/>
    <w:rsid w:val="0011297E"/>
    <w:rsid w:val="00117E2F"/>
    <w:rsid w:val="00126C2B"/>
    <w:rsid w:val="001311C0"/>
    <w:rsid w:val="00132C65"/>
    <w:rsid w:val="00156524"/>
    <w:rsid w:val="001621F9"/>
    <w:rsid w:val="00164138"/>
    <w:rsid w:val="00171C1F"/>
    <w:rsid w:val="00172CC8"/>
    <w:rsid w:val="001741B3"/>
    <w:rsid w:val="0018402A"/>
    <w:rsid w:val="0018642A"/>
    <w:rsid w:val="00187448"/>
    <w:rsid w:val="001A1D5E"/>
    <w:rsid w:val="001A24C6"/>
    <w:rsid w:val="001A2D76"/>
    <w:rsid w:val="001B464D"/>
    <w:rsid w:val="001B4715"/>
    <w:rsid w:val="001D12E3"/>
    <w:rsid w:val="001D7CBC"/>
    <w:rsid w:val="001F3547"/>
    <w:rsid w:val="001F3C5E"/>
    <w:rsid w:val="001F4098"/>
    <w:rsid w:val="00213FD0"/>
    <w:rsid w:val="00220E92"/>
    <w:rsid w:val="00224535"/>
    <w:rsid w:val="0023185A"/>
    <w:rsid w:val="00232CD4"/>
    <w:rsid w:val="002337E5"/>
    <w:rsid w:val="0024349C"/>
    <w:rsid w:val="00261FAF"/>
    <w:rsid w:val="00281E4E"/>
    <w:rsid w:val="00285443"/>
    <w:rsid w:val="00295980"/>
    <w:rsid w:val="00295CD1"/>
    <w:rsid w:val="002A115A"/>
    <w:rsid w:val="002A3E93"/>
    <w:rsid w:val="002B3865"/>
    <w:rsid w:val="002C0341"/>
    <w:rsid w:val="002C2AE7"/>
    <w:rsid w:val="002D1A8E"/>
    <w:rsid w:val="002D4345"/>
    <w:rsid w:val="002E47D4"/>
    <w:rsid w:val="002F1FFA"/>
    <w:rsid w:val="002F6269"/>
    <w:rsid w:val="00310604"/>
    <w:rsid w:val="00310810"/>
    <w:rsid w:val="003174E2"/>
    <w:rsid w:val="00323992"/>
    <w:rsid w:val="00324325"/>
    <w:rsid w:val="0032439F"/>
    <w:rsid w:val="003445BC"/>
    <w:rsid w:val="00352253"/>
    <w:rsid w:val="0036529B"/>
    <w:rsid w:val="0037667F"/>
    <w:rsid w:val="00376986"/>
    <w:rsid w:val="00383258"/>
    <w:rsid w:val="00385B6B"/>
    <w:rsid w:val="003A221F"/>
    <w:rsid w:val="003B55F6"/>
    <w:rsid w:val="003C04B5"/>
    <w:rsid w:val="003D1884"/>
    <w:rsid w:val="003D5E50"/>
    <w:rsid w:val="003E6B7A"/>
    <w:rsid w:val="003F6A88"/>
    <w:rsid w:val="003F77BA"/>
    <w:rsid w:val="00414134"/>
    <w:rsid w:val="00427E1D"/>
    <w:rsid w:val="004338BF"/>
    <w:rsid w:val="00435F5F"/>
    <w:rsid w:val="00437B07"/>
    <w:rsid w:val="004448BD"/>
    <w:rsid w:val="00451501"/>
    <w:rsid w:val="004554DF"/>
    <w:rsid w:val="00464C8F"/>
    <w:rsid w:val="00471527"/>
    <w:rsid w:val="00484AB4"/>
    <w:rsid w:val="00490457"/>
    <w:rsid w:val="00494341"/>
    <w:rsid w:val="00495BB4"/>
    <w:rsid w:val="00496498"/>
    <w:rsid w:val="004974B8"/>
    <w:rsid w:val="004A024D"/>
    <w:rsid w:val="004A1500"/>
    <w:rsid w:val="004A3440"/>
    <w:rsid w:val="004A46C8"/>
    <w:rsid w:val="004B3394"/>
    <w:rsid w:val="004C2D14"/>
    <w:rsid w:val="004D0FF6"/>
    <w:rsid w:val="004E58C5"/>
    <w:rsid w:val="004F430A"/>
    <w:rsid w:val="004F684C"/>
    <w:rsid w:val="00516DE4"/>
    <w:rsid w:val="00523FF5"/>
    <w:rsid w:val="0052483C"/>
    <w:rsid w:val="0053219A"/>
    <w:rsid w:val="00535088"/>
    <w:rsid w:val="0054324A"/>
    <w:rsid w:val="00547786"/>
    <w:rsid w:val="00547E65"/>
    <w:rsid w:val="00552BB1"/>
    <w:rsid w:val="00553E50"/>
    <w:rsid w:val="00556B6D"/>
    <w:rsid w:val="0057037E"/>
    <w:rsid w:val="0057553D"/>
    <w:rsid w:val="00580B0D"/>
    <w:rsid w:val="00585D6D"/>
    <w:rsid w:val="0059564D"/>
    <w:rsid w:val="00596887"/>
    <w:rsid w:val="0059727C"/>
    <w:rsid w:val="005A0577"/>
    <w:rsid w:val="005B021A"/>
    <w:rsid w:val="005C62A4"/>
    <w:rsid w:val="005D4219"/>
    <w:rsid w:val="00601510"/>
    <w:rsid w:val="00611DEC"/>
    <w:rsid w:val="00613007"/>
    <w:rsid w:val="00613CBC"/>
    <w:rsid w:val="00616C61"/>
    <w:rsid w:val="0062419D"/>
    <w:rsid w:val="00624564"/>
    <w:rsid w:val="006339E1"/>
    <w:rsid w:val="006365E2"/>
    <w:rsid w:val="00646D8E"/>
    <w:rsid w:val="00652D4D"/>
    <w:rsid w:val="006555B8"/>
    <w:rsid w:val="006574CC"/>
    <w:rsid w:val="00672796"/>
    <w:rsid w:val="00676D6E"/>
    <w:rsid w:val="006779CC"/>
    <w:rsid w:val="006848FB"/>
    <w:rsid w:val="006B1F59"/>
    <w:rsid w:val="006C3154"/>
    <w:rsid w:val="006C7397"/>
    <w:rsid w:val="006D73CD"/>
    <w:rsid w:val="006F75C4"/>
    <w:rsid w:val="006F7A57"/>
    <w:rsid w:val="007028BD"/>
    <w:rsid w:val="00703524"/>
    <w:rsid w:val="00703701"/>
    <w:rsid w:val="00716E6B"/>
    <w:rsid w:val="0071744C"/>
    <w:rsid w:val="00732DE1"/>
    <w:rsid w:val="00737175"/>
    <w:rsid w:val="00755C1D"/>
    <w:rsid w:val="00767ACA"/>
    <w:rsid w:val="007712B3"/>
    <w:rsid w:val="00771BD2"/>
    <w:rsid w:val="007835A7"/>
    <w:rsid w:val="007841A3"/>
    <w:rsid w:val="00787319"/>
    <w:rsid w:val="00787E16"/>
    <w:rsid w:val="00792003"/>
    <w:rsid w:val="00792464"/>
    <w:rsid w:val="007A14D4"/>
    <w:rsid w:val="007A26DA"/>
    <w:rsid w:val="007A7E65"/>
    <w:rsid w:val="007B7FCF"/>
    <w:rsid w:val="007C3146"/>
    <w:rsid w:val="007C318D"/>
    <w:rsid w:val="007D0976"/>
    <w:rsid w:val="007D0CA0"/>
    <w:rsid w:val="007D29D0"/>
    <w:rsid w:val="007D371E"/>
    <w:rsid w:val="007D7CCC"/>
    <w:rsid w:val="007E48B8"/>
    <w:rsid w:val="007F10EE"/>
    <w:rsid w:val="007F2A47"/>
    <w:rsid w:val="007F3C19"/>
    <w:rsid w:val="007F4375"/>
    <w:rsid w:val="00800B0B"/>
    <w:rsid w:val="008037A9"/>
    <w:rsid w:val="00806AA8"/>
    <w:rsid w:val="00810287"/>
    <w:rsid w:val="00823CB2"/>
    <w:rsid w:val="00825507"/>
    <w:rsid w:val="008261C2"/>
    <w:rsid w:val="008504E1"/>
    <w:rsid w:val="0085185B"/>
    <w:rsid w:val="008544DB"/>
    <w:rsid w:val="00861D58"/>
    <w:rsid w:val="00863257"/>
    <w:rsid w:val="00863C0B"/>
    <w:rsid w:val="00863E65"/>
    <w:rsid w:val="008726EC"/>
    <w:rsid w:val="00873303"/>
    <w:rsid w:val="00875F1A"/>
    <w:rsid w:val="00880F05"/>
    <w:rsid w:val="008815CA"/>
    <w:rsid w:val="00882262"/>
    <w:rsid w:val="008822FA"/>
    <w:rsid w:val="00893DE7"/>
    <w:rsid w:val="008A3325"/>
    <w:rsid w:val="008A7489"/>
    <w:rsid w:val="008B15A5"/>
    <w:rsid w:val="008B5A26"/>
    <w:rsid w:val="008D070A"/>
    <w:rsid w:val="008E44BF"/>
    <w:rsid w:val="008E4593"/>
    <w:rsid w:val="008F2066"/>
    <w:rsid w:val="008F20F2"/>
    <w:rsid w:val="008F4D2E"/>
    <w:rsid w:val="008F5D9B"/>
    <w:rsid w:val="009000AA"/>
    <w:rsid w:val="00904A2A"/>
    <w:rsid w:val="00905671"/>
    <w:rsid w:val="009122FE"/>
    <w:rsid w:val="00914635"/>
    <w:rsid w:val="00917711"/>
    <w:rsid w:val="00917CF3"/>
    <w:rsid w:val="00922FFA"/>
    <w:rsid w:val="00923193"/>
    <w:rsid w:val="009361E7"/>
    <w:rsid w:val="00946DDB"/>
    <w:rsid w:val="00947C66"/>
    <w:rsid w:val="00952D12"/>
    <w:rsid w:val="0095728C"/>
    <w:rsid w:val="00962FDE"/>
    <w:rsid w:val="00967DA9"/>
    <w:rsid w:val="00981197"/>
    <w:rsid w:val="009A3428"/>
    <w:rsid w:val="009A59C3"/>
    <w:rsid w:val="009B205B"/>
    <w:rsid w:val="009B65E1"/>
    <w:rsid w:val="009B750E"/>
    <w:rsid w:val="009D14A5"/>
    <w:rsid w:val="009D541C"/>
    <w:rsid w:val="00A030A5"/>
    <w:rsid w:val="00A106DD"/>
    <w:rsid w:val="00A13147"/>
    <w:rsid w:val="00A14BFC"/>
    <w:rsid w:val="00A2594A"/>
    <w:rsid w:val="00A25EFF"/>
    <w:rsid w:val="00A26EB2"/>
    <w:rsid w:val="00A36D44"/>
    <w:rsid w:val="00A37248"/>
    <w:rsid w:val="00A403C5"/>
    <w:rsid w:val="00A506FD"/>
    <w:rsid w:val="00A5156F"/>
    <w:rsid w:val="00A5406B"/>
    <w:rsid w:val="00A74415"/>
    <w:rsid w:val="00A75F19"/>
    <w:rsid w:val="00A77340"/>
    <w:rsid w:val="00A82525"/>
    <w:rsid w:val="00A833EA"/>
    <w:rsid w:val="00A84BB8"/>
    <w:rsid w:val="00A95287"/>
    <w:rsid w:val="00AA1B28"/>
    <w:rsid w:val="00AA3946"/>
    <w:rsid w:val="00AA4598"/>
    <w:rsid w:val="00AB37AC"/>
    <w:rsid w:val="00AB475B"/>
    <w:rsid w:val="00AC123C"/>
    <w:rsid w:val="00AD1991"/>
    <w:rsid w:val="00AD5B1E"/>
    <w:rsid w:val="00AE3A14"/>
    <w:rsid w:val="00AE3B61"/>
    <w:rsid w:val="00AE7E5B"/>
    <w:rsid w:val="00AF0371"/>
    <w:rsid w:val="00AF04BE"/>
    <w:rsid w:val="00AF18C7"/>
    <w:rsid w:val="00B02309"/>
    <w:rsid w:val="00B06719"/>
    <w:rsid w:val="00B26273"/>
    <w:rsid w:val="00B34364"/>
    <w:rsid w:val="00B411DA"/>
    <w:rsid w:val="00B51097"/>
    <w:rsid w:val="00B5121A"/>
    <w:rsid w:val="00B52CF8"/>
    <w:rsid w:val="00B61916"/>
    <w:rsid w:val="00B745A0"/>
    <w:rsid w:val="00B756F6"/>
    <w:rsid w:val="00B8759D"/>
    <w:rsid w:val="00B90528"/>
    <w:rsid w:val="00B94A38"/>
    <w:rsid w:val="00BA0AD6"/>
    <w:rsid w:val="00BA1122"/>
    <w:rsid w:val="00BB0388"/>
    <w:rsid w:val="00BC0F10"/>
    <w:rsid w:val="00BC64D7"/>
    <w:rsid w:val="00BC7DF3"/>
    <w:rsid w:val="00BD0F5F"/>
    <w:rsid w:val="00BD10EE"/>
    <w:rsid w:val="00BD134C"/>
    <w:rsid w:val="00BD38E4"/>
    <w:rsid w:val="00BD3C5D"/>
    <w:rsid w:val="00BF385A"/>
    <w:rsid w:val="00C0159C"/>
    <w:rsid w:val="00C04F3D"/>
    <w:rsid w:val="00C06690"/>
    <w:rsid w:val="00C119B3"/>
    <w:rsid w:val="00C209EC"/>
    <w:rsid w:val="00C23768"/>
    <w:rsid w:val="00C31E0B"/>
    <w:rsid w:val="00C33300"/>
    <w:rsid w:val="00C33F81"/>
    <w:rsid w:val="00C34530"/>
    <w:rsid w:val="00C4072A"/>
    <w:rsid w:val="00C411B1"/>
    <w:rsid w:val="00C46B7C"/>
    <w:rsid w:val="00C46D8E"/>
    <w:rsid w:val="00C547DB"/>
    <w:rsid w:val="00C65034"/>
    <w:rsid w:val="00C6791B"/>
    <w:rsid w:val="00C72374"/>
    <w:rsid w:val="00C87143"/>
    <w:rsid w:val="00C87FA2"/>
    <w:rsid w:val="00C962DA"/>
    <w:rsid w:val="00C970BF"/>
    <w:rsid w:val="00C97FB2"/>
    <w:rsid w:val="00CA4A51"/>
    <w:rsid w:val="00CC1B28"/>
    <w:rsid w:val="00CD5647"/>
    <w:rsid w:val="00CE2352"/>
    <w:rsid w:val="00CF0E67"/>
    <w:rsid w:val="00CF23DD"/>
    <w:rsid w:val="00CF4D41"/>
    <w:rsid w:val="00D003BB"/>
    <w:rsid w:val="00D01BF3"/>
    <w:rsid w:val="00D03E18"/>
    <w:rsid w:val="00D061A8"/>
    <w:rsid w:val="00D20E21"/>
    <w:rsid w:val="00D2245B"/>
    <w:rsid w:val="00D23800"/>
    <w:rsid w:val="00D23CB7"/>
    <w:rsid w:val="00D26D11"/>
    <w:rsid w:val="00D34B06"/>
    <w:rsid w:val="00D42486"/>
    <w:rsid w:val="00D461ED"/>
    <w:rsid w:val="00D67408"/>
    <w:rsid w:val="00D75897"/>
    <w:rsid w:val="00D84653"/>
    <w:rsid w:val="00D912D1"/>
    <w:rsid w:val="00DA2C92"/>
    <w:rsid w:val="00DA5325"/>
    <w:rsid w:val="00DA62A9"/>
    <w:rsid w:val="00DB07D8"/>
    <w:rsid w:val="00DB5345"/>
    <w:rsid w:val="00DF06E2"/>
    <w:rsid w:val="00E10487"/>
    <w:rsid w:val="00E5088B"/>
    <w:rsid w:val="00E525BD"/>
    <w:rsid w:val="00E60F2E"/>
    <w:rsid w:val="00E64957"/>
    <w:rsid w:val="00E8018D"/>
    <w:rsid w:val="00E80EDC"/>
    <w:rsid w:val="00E824BD"/>
    <w:rsid w:val="00EA0CB8"/>
    <w:rsid w:val="00EB07F4"/>
    <w:rsid w:val="00EC5FE0"/>
    <w:rsid w:val="00ED5ED6"/>
    <w:rsid w:val="00ED5F62"/>
    <w:rsid w:val="00EF1D64"/>
    <w:rsid w:val="00F27647"/>
    <w:rsid w:val="00F27F3E"/>
    <w:rsid w:val="00F33B13"/>
    <w:rsid w:val="00F46DDD"/>
    <w:rsid w:val="00F525E0"/>
    <w:rsid w:val="00F57388"/>
    <w:rsid w:val="00F94E56"/>
    <w:rsid w:val="00F95D49"/>
    <w:rsid w:val="00F9631D"/>
    <w:rsid w:val="00FA2711"/>
    <w:rsid w:val="00FB7203"/>
    <w:rsid w:val="00FC5FBC"/>
    <w:rsid w:val="00FD2BF9"/>
    <w:rsid w:val="00FD49E0"/>
    <w:rsid w:val="00FE3A70"/>
    <w:rsid w:val="00FF06D6"/>
    <w:rsid w:val="00FF337B"/>
    <w:rsid w:val="00FF6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8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156524"/>
    <w:pPr>
      <w:keepNext/>
      <w:keepLines/>
      <w:spacing w:before="240" w:after="80" w:line="260" w:lineRule="atLeast"/>
      <w:outlineLvl w:val="1"/>
    </w:pPr>
    <w:rPr>
      <w:rFonts w:asciiTheme="majorHAnsi" w:eastAsiaTheme="majorEastAsia" w:hAnsiTheme="majorHAnsi" w:cstheme="majorBidi"/>
      <w:b/>
      <w:bCs/>
      <w:sz w:val="28"/>
      <w:szCs w:val="26"/>
    </w:rPr>
  </w:style>
  <w:style w:type="paragraph" w:styleId="Rubrik3">
    <w:name w:val="heading 3"/>
    <w:aliases w:val="KTH Rubrik 3"/>
    <w:basedOn w:val="Normal"/>
    <w:next w:val="Brdtext"/>
    <w:link w:val="Rubrik3Char"/>
    <w:uiPriority w:val="3"/>
    <w:qFormat/>
    <w:rsid w:val="000C272F"/>
    <w:pPr>
      <w:keepNext/>
      <w:keepLines/>
      <w:spacing w:before="240" w:after="60" w:line="260" w:lineRule="atLeast"/>
      <w:outlineLvl w:val="2"/>
    </w:pPr>
    <w:rPr>
      <w:rFonts w:asciiTheme="majorHAnsi" w:eastAsiaTheme="majorEastAsia" w:hAnsiTheme="majorHAnsi" w:cstheme="majorBidi"/>
      <w:b/>
      <w:bCs/>
      <w:sz w:val="24"/>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AD1991"/>
    <w:pPr>
      <w:spacing w:after="240" w:line="260" w:lineRule="atLeast"/>
    </w:pPr>
    <w:rPr>
      <w:sz w:val="22"/>
    </w:rPr>
  </w:style>
  <w:style w:type="character" w:customStyle="1" w:styleId="BrdtextChar">
    <w:name w:val="Brödtext Char"/>
    <w:aliases w:val="KTH Brödtext Char"/>
    <w:basedOn w:val="Standardstycketeckensnitt"/>
    <w:link w:val="Brdtext"/>
    <w:uiPriority w:val="1"/>
    <w:rsid w:val="00AD1991"/>
    <w:rPr>
      <w:sz w:val="22"/>
    </w:rPr>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156524"/>
    <w:rPr>
      <w:rFonts w:asciiTheme="majorHAnsi" w:eastAsiaTheme="majorEastAsia" w:hAnsiTheme="majorHAnsi" w:cstheme="majorBidi"/>
      <w:b/>
      <w:bCs/>
      <w:sz w:val="28"/>
      <w:szCs w:val="26"/>
    </w:rPr>
  </w:style>
  <w:style w:type="character" w:customStyle="1" w:styleId="Rubrik3Char">
    <w:name w:val="Rubrik 3 Char"/>
    <w:aliases w:val="KTH Rubrik 3 Char"/>
    <w:basedOn w:val="Standardstycketeckensnitt"/>
    <w:link w:val="Rubrik3"/>
    <w:uiPriority w:val="3"/>
    <w:rsid w:val="000C272F"/>
    <w:rPr>
      <w:rFonts w:asciiTheme="majorHAnsi" w:eastAsiaTheme="majorEastAsia" w:hAnsiTheme="majorHAnsi" w:cstheme="majorBidi"/>
      <w:b/>
      <w:bCs/>
      <w:sz w:val="24"/>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033FB6"/>
    <w:pPr>
      <w:spacing w:after="360" w:line="320" w:lineRule="atLeast"/>
    </w:pPr>
    <w:rPr>
      <w:rFonts w:asciiTheme="majorHAnsi" w:hAnsiTheme="majorHAnsi"/>
      <w:b/>
      <w:sz w:val="36"/>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Ballongtext">
    <w:name w:val="Balloon Text"/>
    <w:basedOn w:val="Normal"/>
    <w:link w:val="BallongtextChar"/>
    <w:uiPriority w:val="99"/>
    <w:semiHidden/>
    <w:unhideWhenUsed/>
    <w:rsid w:val="00A403C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03C5"/>
    <w:rPr>
      <w:rFonts w:ascii="Segoe UI" w:hAnsi="Segoe UI" w:cs="Segoe UI"/>
      <w:sz w:val="18"/>
      <w:szCs w:val="18"/>
    </w:rPr>
  </w:style>
  <w:style w:type="paragraph" w:styleId="Fotnotstext">
    <w:name w:val="footnote text"/>
    <w:basedOn w:val="Normal"/>
    <w:link w:val="FotnotstextChar"/>
    <w:uiPriority w:val="99"/>
    <w:semiHidden/>
    <w:unhideWhenUsed/>
    <w:rsid w:val="00AE3A14"/>
  </w:style>
  <w:style w:type="character" w:customStyle="1" w:styleId="FotnotstextChar">
    <w:name w:val="Fotnotstext Char"/>
    <w:basedOn w:val="Standardstycketeckensnitt"/>
    <w:link w:val="Fotnotstext"/>
    <w:uiPriority w:val="99"/>
    <w:semiHidden/>
    <w:rsid w:val="00AE3A14"/>
  </w:style>
  <w:style w:type="character" w:styleId="Fotnotsreferens">
    <w:name w:val="footnote reference"/>
    <w:basedOn w:val="Standardstycketeckensnitt"/>
    <w:uiPriority w:val="99"/>
    <w:semiHidden/>
    <w:unhideWhenUsed/>
    <w:rsid w:val="00AE3A14"/>
    <w:rPr>
      <w:vertAlign w:val="superscript"/>
    </w:rPr>
  </w:style>
  <w:style w:type="table" w:styleId="Tabellrutnt">
    <w:name w:val="Table Grid"/>
    <w:basedOn w:val="Normaltabell"/>
    <w:uiPriority w:val="59"/>
    <w:rsid w:val="0032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C0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248">
      <w:bodyDiv w:val="1"/>
      <w:marLeft w:val="0"/>
      <w:marRight w:val="0"/>
      <w:marTop w:val="0"/>
      <w:marBottom w:val="0"/>
      <w:divBdr>
        <w:top w:val="none" w:sz="0" w:space="0" w:color="auto"/>
        <w:left w:val="none" w:sz="0" w:space="0" w:color="auto"/>
        <w:bottom w:val="none" w:sz="0" w:space="0" w:color="auto"/>
        <w:right w:val="none" w:sz="0" w:space="0" w:color="auto"/>
      </w:divBdr>
    </w:div>
    <w:div w:id="174999211">
      <w:bodyDiv w:val="1"/>
      <w:marLeft w:val="0"/>
      <w:marRight w:val="0"/>
      <w:marTop w:val="0"/>
      <w:marBottom w:val="0"/>
      <w:divBdr>
        <w:top w:val="none" w:sz="0" w:space="0" w:color="auto"/>
        <w:left w:val="none" w:sz="0" w:space="0" w:color="auto"/>
        <w:bottom w:val="none" w:sz="0" w:space="0" w:color="auto"/>
        <w:right w:val="none" w:sz="0" w:space="0" w:color="auto"/>
      </w:divBdr>
    </w:div>
    <w:div w:id="249125547">
      <w:bodyDiv w:val="1"/>
      <w:marLeft w:val="0"/>
      <w:marRight w:val="0"/>
      <w:marTop w:val="0"/>
      <w:marBottom w:val="0"/>
      <w:divBdr>
        <w:top w:val="none" w:sz="0" w:space="0" w:color="auto"/>
        <w:left w:val="none" w:sz="0" w:space="0" w:color="auto"/>
        <w:bottom w:val="none" w:sz="0" w:space="0" w:color="auto"/>
        <w:right w:val="none" w:sz="0" w:space="0" w:color="auto"/>
      </w:divBdr>
    </w:div>
    <w:div w:id="296103657">
      <w:bodyDiv w:val="1"/>
      <w:marLeft w:val="0"/>
      <w:marRight w:val="0"/>
      <w:marTop w:val="0"/>
      <w:marBottom w:val="0"/>
      <w:divBdr>
        <w:top w:val="none" w:sz="0" w:space="0" w:color="auto"/>
        <w:left w:val="none" w:sz="0" w:space="0" w:color="auto"/>
        <w:bottom w:val="none" w:sz="0" w:space="0" w:color="auto"/>
        <w:right w:val="none" w:sz="0" w:space="0" w:color="auto"/>
      </w:divBdr>
    </w:div>
    <w:div w:id="297153388">
      <w:bodyDiv w:val="1"/>
      <w:marLeft w:val="0"/>
      <w:marRight w:val="0"/>
      <w:marTop w:val="0"/>
      <w:marBottom w:val="0"/>
      <w:divBdr>
        <w:top w:val="none" w:sz="0" w:space="0" w:color="auto"/>
        <w:left w:val="none" w:sz="0" w:space="0" w:color="auto"/>
        <w:bottom w:val="none" w:sz="0" w:space="0" w:color="auto"/>
        <w:right w:val="none" w:sz="0" w:space="0" w:color="auto"/>
      </w:divBdr>
    </w:div>
    <w:div w:id="345713770">
      <w:bodyDiv w:val="1"/>
      <w:marLeft w:val="0"/>
      <w:marRight w:val="0"/>
      <w:marTop w:val="0"/>
      <w:marBottom w:val="0"/>
      <w:divBdr>
        <w:top w:val="none" w:sz="0" w:space="0" w:color="auto"/>
        <w:left w:val="none" w:sz="0" w:space="0" w:color="auto"/>
        <w:bottom w:val="none" w:sz="0" w:space="0" w:color="auto"/>
        <w:right w:val="none" w:sz="0" w:space="0" w:color="auto"/>
      </w:divBdr>
    </w:div>
    <w:div w:id="631863471">
      <w:bodyDiv w:val="1"/>
      <w:marLeft w:val="0"/>
      <w:marRight w:val="0"/>
      <w:marTop w:val="0"/>
      <w:marBottom w:val="0"/>
      <w:divBdr>
        <w:top w:val="none" w:sz="0" w:space="0" w:color="auto"/>
        <w:left w:val="none" w:sz="0" w:space="0" w:color="auto"/>
        <w:bottom w:val="none" w:sz="0" w:space="0" w:color="auto"/>
        <w:right w:val="none" w:sz="0" w:space="0" w:color="auto"/>
      </w:divBdr>
    </w:div>
    <w:div w:id="703868322">
      <w:bodyDiv w:val="1"/>
      <w:marLeft w:val="0"/>
      <w:marRight w:val="0"/>
      <w:marTop w:val="0"/>
      <w:marBottom w:val="0"/>
      <w:divBdr>
        <w:top w:val="none" w:sz="0" w:space="0" w:color="auto"/>
        <w:left w:val="none" w:sz="0" w:space="0" w:color="auto"/>
        <w:bottom w:val="none" w:sz="0" w:space="0" w:color="auto"/>
        <w:right w:val="none" w:sz="0" w:space="0" w:color="auto"/>
      </w:divBdr>
    </w:div>
    <w:div w:id="718750693">
      <w:bodyDiv w:val="1"/>
      <w:marLeft w:val="0"/>
      <w:marRight w:val="0"/>
      <w:marTop w:val="0"/>
      <w:marBottom w:val="0"/>
      <w:divBdr>
        <w:top w:val="none" w:sz="0" w:space="0" w:color="auto"/>
        <w:left w:val="none" w:sz="0" w:space="0" w:color="auto"/>
        <w:bottom w:val="none" w:sz="0" w:space="0" w:color="auto"/>
        <w:right w:val="none" w:sz="0" w:space="0" w:color="auto"/>
      </w:divBdr>
    </w:div>
    <w:div w:id="798688634">
      <w:bodyDiv w:val="1"/>
      <w:marLeft w:val="0"/>
      <w:marRight w:val="0"/>
      <w:marTop w:val="0"/>
      <w:marBottom w:val="0"/>
      <w:divBdr>
        <w:top w:val="none" w:sz="0" w:space="0" w:color="auto"/>
        <w:left w:val="none" w:sz="0" w:space="0" w:color="auto"/>
        <w:bottom w:val="none" w:sz="0" w:space="0" w:color="auto"/>
        <w:right w:val="none" w:sz="0" w:space="0" w:color="auto"/>
      </w:divBdr>
    </w:div>
    <w:div w:id="909116221">
      <w:bodyDiv w:val="1"/>
      <w:marLeft w:val="0"/>
      <w:marRight w:val="0"/>
      <w:marTop w:val="0"/>
      <w:marBottom w:val="0"/>
      <w:divBdr>
        <w:top w:val="none" w:sz="0" w:space="0" w:color="auto"/>
        <w:left w:val="none" w:sz="0" w:space="0" w:color="auto"/>
        <w:bottom w:val="none" w:sz="0" w:space="0" w:color="auto"/>
        <w:right w:val="none" w:sz="0" w:space="0" w:color="auto"/>
      </w:divBdr>
    </w:div>
    <w:div w:id="951935266">
      <w:bodyDiv w:val="1"/>
      <w:marLeft w:val="0"/>
      <w:marRight w:val="0"/>
      <w:marTop w:val="0"/>
      <w:marBottom w:val="0"/>
      <w:divBdr>
        <w:top w:val="none" w:sz="0" w:space="0" w:color="auto"/>
        <w:left w:val="none" w:sz="0" w:space="0" w:color="auto"/>
        <w:bottom w:val="none" w:sz="0" w:space="0" w:color="auto"/>
        <w:right w:val="none" w:sz="0" w:space="0" w:color="auto"/>
      </w:divBdr>
    </w:div>
    <w:div w:id="994072663">
      <w:bodyDiv w:val="1"/>
      <w:marLeft w:val="0"/>
      <w:marRight w:val="0"/>
      <w:marTop w:val="0"/>
      <w:marBottom w:val="0"/>
      <w:divBdr>
        <w:top w:val="none" w:sz="0" w:space="0" w:color="auto"/>
        <w:left w:val="none" w:sz="0" w:space="0" w:color="auto"/>
        <w:bottom w:val="none" w:sz="0" w:space="0" w:color="auto"/>
        <w:right w:val="none" w:sz="0" w:space="0" w:color="auto"/>
      </w:divBdr>
    </w:div>
    <w:div w:id="1127776064">
      <w:bodyDiv w:val="1"/>
      <w:marLeft w:val="0"/>
      <w:marRight w:val="0"/>
      <w:marTop w:val="0"/>
      <w:marBottom w:val="0"/>
      <w:divBdr>
        <w:top w:val="none" w:sz="0" w:space="0" w:color="auto"/>
        <w:left w:val="none" w:sz="0" w:space="0" w:color="auto"/>
        <w:bottom w:val="none" w:sz="0" w:space="0" w:color="auto"/>
        <w:right w:val="none" w:sz="0" w:space="0" w:color="auto"/>
      </w:divBdr>
    </w:div>
    <w:div w:id="1668359317">
      <w:bodyDiv w:val="1"/>
      <w:marLeft w:val="0"/>
      <w:marRight w:val="0"/>
      <w:marTop w:val="0"/>
      <w:marBottom w:val="0"/>
      <w:divBdr>
        <w:top w:val="none" w:sz="0" w:space="0" w:color="auto"/>
        <w:left w:val="none" w:sz="0" w:space="0" w:color="auto"/>
        <w:bottom w:val="none" w:sz="0" w:space="0" w:color="auto"/>
        <w:right w:val="none" w:sz="0" w:space="0" w:color="auto"/>
      </w:divBdr>
    </w:div>
    <w:div w:id="1706519503">
      <w:bodyDiv w:val="1"/>
      <w:marLeft w:val="0"/>
      <w:marRight w:val="0"/>
      <w:marTop w:val="0"/>
      <w:marBottom w:val="0"/>
      <w:divBdr>
        <w:top w:val="none" w:sz="0" w:space="0" w:color="auto"/>
        <w:left w:val="none" w:sz="0" w:space="0" w:color="auto"/>
        <w:bottom w:val="none" w:sz="0" w:space="0" w:color="auto"/>
        <w:right w:val="none" w:sz="0" w:space="0" w:color="auto"/>
      </w:divBdr>
    </w:div>
    <w:div w:id="1708798059">
      <w:bodyDiv w:val="1"/>
      <w:marLeft w:val="0"/>
      <w:marRight w:val="0"/>
      <w:marTop w:val="0"/>
      <w:marBottom w:val="0"/>
      <w:divBdr>
        <w:top w:val="none" w:sz="0" w:space="0" w:color="auto"/>
        <w:left w:val="none" w:sz="0" w:space="0" w:color="auto"/>
        <w:bottom w:val="none" w:sz="0" w:space="0" w:color="auto"/>
        <w:right w:val="none" w:sz="0" w:space="0" w:color="auto"/>
      </w:divBdr>
    </w:div>
    <w:div w:id="1791244672">
      <w:bodyDiv w:val="1"/>
      <w:marLeft w:val="0"/>
      <w:marRight w:val="0"/>
      <w:marTop w:val="0"/>
      <w:marBottom w:val="0"/>
      <w:divBdr>
        <w:top w:val="none" w:sz="0" w:space="0" w:color="auto"/>
        <w:left w:val="none" w:sz="0" w:space="0" w:color="auto"/>
        <w:bottom w:val="none" w:sz="0" w:space="0" w:color="auto"/>
        <w:right w:val="none" w:sz="0" w:space="0" w:color="auto"/>
      </w:divBdr>
    </w:div>
    <w:div w:id="1791975324">
      <w:bodyDiv w:val="1"/>
      <w:marLeft w:val="0"/>
      <w:marRight w:val="0"/>
      <w:marTop w:val="0"/>
      <w:marBottom w:val="0"/>
      <w:divBdr>
        <w:top w:val="none" w:sz="0" w:space="0" w:color="auto"/>
        <w:left w:val="none" w:sz="0" w:space="0" w:color="auto"/>
        <w:bottom w:val="none" w:sz="0" w:space="0" w:color="auto"/>
        <w:right w:val="none" w:sz="0" w:space="0" w:color="auto"/>
      </w:divBdr>
    </w:div>
    <w:div w:id="1829637069">
      <w:bodyDiv w:val="1"/>
      <w:marLeft w:val="0"/>
      <w:marRight w:val="0"/>
      <w:marTop w:val="0"/>
      <w:marBottom w:val="0"/>
      <w:divBdr>
        <w:top w:val="none" w:sz="0" w:space="0" w:color="auto"/>
        <w:left w:val="none" w:sz="0" w:space="0" w:color="auto"/>
        <w:bottom w:val="none" w:sz="0" w:space="0" w:color="auto"/>
        <w:right w:val="none" w:sz="0" w:space="0" w:color="auto"/>
      </w:divBdr>
    </w:div>
    <w:div w:id="1909538171">
      <w:bodyDiv w:val="1"/>
      <w:marLeft w:val="0"/>
      <w:marRight w:val="0"/>
      <w:marTop w:val="0"/>
      <w:marBottom w:val="0"/>
      <w:divBdr>
        <w:top w:val="none" w:sz="0" w:space="0" w:color="auto"/>
        <w:left w:val="none" w:sz="0" w:space="0" w:color="auto"/>
        <w:bottom w:val="none" w:sz="0" w:space="0" w:color="auto"/>
        <w:right w:val="none" w:sz="0" w:space="0" w:color="auto"/>
      </w:divBdr>
    </w:div>
    <w:div w:id="1911772872">
      <w:bodyDiv w:val="1"/>
      <w:marLeft w:val="0"/>
      <w:marRight w:val="0"/>
      <w:marTop w:val="0"/>
      <w:marBottom w:val="0"/>
      <w:divBdr>
        <w:top w:val="none" w:sz="0" w:space="0" w:color="auto"/>
        <w:left w:val="none" w:sz="0" w:space="0" w:color="auto"/>
        <w:bottom w:val="none" w:sz="0" w:space="0" w:color="auto"/>
        <w:right w:val="none" w:sz="0" w:space="0" w:color="auto"/>
      </w:divBdr>
    </w:div>
    <w:div w:id="19990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B407-BBD0-4D5F-8A7A-DF5D574D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5831</Words>
  <Characters>30908</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2020-09-23T10:38:00Z</dcterms:created>
  <dcterms:modified xsi:type="dcterms:W3CDTF">2020-10-02T09:56:00Z</dcterms:modified>
</cp:coreProperties>
</file>