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97" w:rsidRDefault="000518F2" w:rsidP="001741B3">
      <w:r>
        <w:rPr>
          <w:noProof/>
          <w:lang w:eastAsia="sv-SE"/>
        </w:rPr>
        <w:drawing>
          <wp:inline distT="0" distB="0" distL="0" distR="0" wp14:anchorId="1DFF145D" wp14:editId="5DBD036F">
            <wp:extent cx="904240" cy="904240"/>
            <wp:effectExtent l="0" t="0" r="0" b="0"/>
            <wp:docPr id="2" name="Bildobjekt 2" descr="k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p>
    <w:p w:rsidR="000518F2" w:rsidRDefault="000518F2" w:rsidP="001741B3"/>
    <w:p w:rsidR="000518F2" w:rsidRDefault="000518F2" w:rsidP="001741B3"/>
    <w:p w:rsidR="000518F2" w:rsidRDefault="000518F2" w:rsidP="001741B3"/>
    <w:p w:rsidR="000518F2" w:rsidRDefault="000518F2" w:rsidP="001741B3"/>
    <w:p w:rsidR="000518F2" w:rsidRDefault="000518F2" w:rsidP="001741B3"/>
    <w:p w:rsidR="000518F2" w:rsidRDefault="000518F2" w:rsidP="001741B3"/>
    <w:p w:rsidR="000518F2" w:rsidRDefault="000518F2" w:rsidP="001741B3"/>
    <w:p w:rsidR="000518F2" w:rsidRDefault="000518F2" w:rsidP="001741B3"/>
    <w:p w:rsidR="000518F2" w:rsidRDefault="000518F2" w:rsidP="001741B3"/>
    <w:p w:rsidR="000518F2" w:rsidRDefault="000518F2" w:rsidP="001741B3"/>
    <w:p w:rsidR="000518F2" w:rsidRDefault="000518F2" w:rsidP="001741B3"/>
    <w:p w:rsidR="000518F2" w:rsidRDefault="000518F2" w:rsidP="001741B3"/>
    <w:p w:rsidR="000518F2" w:rsidRDefault="000518F2" w:rsidP="001741B3"/>
    <w:p w:rsidR="003E6448" w:rsidRDefault="003E6448" w:rsidP="001741B3"/>
    <w:p w:rsidR="003E6448" w:rsidRDefault="003E6448" w:rsidP="001741B3"/>
    <w:p w:rsidR="000518F2" w:rsidRDefault="000518F2" w:rsidP="001741B3"/>
    <w:p w:rsidR="000518F2" w:rsidRDefault="000518F2" w:rsidP="001741B3"/>
    <w:p w:rsidR="000518F2" w:rsidRDefault="000518F2" w:rsidP="001741B3"/>
    <w:p w:rsidR="000518F2" w:rsidRDefault="000518F2" w:rsidP="001741B3"/>
    <w:p w:rsidR="000518F2" w:rsidRPr="00665227" w:rsidRDefault="00DF6ACF" w:rsidP="001741B3">
      <w:pPr>
        <w:rPr>
          <w:b/>
          <w:sz w:val="56"/>
          <w:szCs w:val="56"/>
        </w:rPr>
      </w:pPr>
      <w:r>
        <w:rPr>
          <w:b/>
          <w:sz w:val="56"/>
          <w:szCs w:val="56"/>
        </w:rPr>
        <w:t>Handlingsplan</w:t>
      </w:r>
      <w:r w:rsidR="000518F2" w:rsidRPr="00665227">
        <w:rPr>
          <w:b/>
          <w:sz w:val="56"/>
          <w:szCs w:val="56"/>
        </w:rPr>
        <w:t xml:space="preserve"> </w:t>
      </w:r>
      <w:r w:rsidR="00152384" w:rsidRPr="00665227">
        <w:rPr>
          <w:b/>
          <w:sz w:val="56"/>
          <w:szCs w:val="56"/>
        </w:rPr>
        <w:t>r</w:t>
      </w:r>
      <w:r w:rsidR="000518F2" w:rsidRPr="00665227">
        <w:rPr>
          <w:b/>
          <w:sz w:val="56"/>
          <w:szCs w:val="56"/>
        </w:rPr>
        <w:t>ank</w:t>
      </w:r>
      <w:r w:rsidR="00B1517F">
        <w:rPr>
          <w:b/>
          <w:sz w:val="56"/>
          <w:szCs w:val="56"/>
        </w:rPr>
        <w:t>n</w:t>
      </w:r>
      <w:r w:rsidR="000518F2" w:rsidRPr="00665227">
        <w:rPr>
          <w:b/>
          <w:sz w:val="56"/>
          <w:szCs w:val="56"/>
        </w:rPr>
        <w:t>ing</w:t>
      </w:r>
      <w:r w:rsidR="00EC19FB" w:rsidRPr="00665227">
        <w:rPr>
          <w:b/>
          <w:sz w:val="56"/>
          <w:szCs w:val="56"/>
        </w:rPr>
        <w:t xml:space="preserve"> 20</w:t>
      </w:r>
      <w:r w:rsidR="003510EB">
        <w:rPr>
          <w:b/>
          <w:sz w:val="56"/>
          <w:szCs w:val="56"/>
        </w:rPr>
        <w:t>20</w:t>
      </w:r>
    </w:p>
    <w:p w:rsidR="00EC19FB" w:rsidRDefault="00EC19FB" w:rsidP="00EC19FB"/>
    <w:p w:rsidR="000518F2" w:rsidRDefault="000518F2" w:rsidP="001741B3"/>
    <w:p w:rsidR="000518F2" w:rsidRPr="00DB2BF9" w:rsidRDefault="008B0030" w:rsidP="001741B3">
      <w:pPr>
        <w:rPr>
          <w:sz w:val="24"/>
          <w:szCs w:val="24"/>
        </w:rPr>
      </w:pPr>
      <w:r w:rsidRPr="00DB2BF9">
        <w:rPr>
          <w:sz w:val="24"/>
          <w:szCs w:val="24"/>
        </w:rPr>
        <w:t>Per-Anders Östling</w:t>
      </w:r>
    </w:p>
    <w:p w:rsidR="000518F2" w:rsidRDefault="000518F2">
      <w:r>
        <w:br w:type="page"/>
      </w:r>
    </w:p>
    <w:sdt>
      <w:sdtPr>
        <w:rPr>
          <w:rFonts w:asciiTheme="minorHAnsi" w:hAnsiTheme="minorHAnsi"/>
          <w:b w:val="0"/>
          <w:sz w:val="20"/>
        </w:rPr>
        <w:id w:val="1725178413"/>
        <w:docPartObj>
          <w:docPartGallery w:val="Table of Contents"/>
          <w:docPartUnique/>
        </w:docPartObj>
      </w:sdtPr>
      <w:sdtEndPr>
        <w:rPr>
          <w:bCs/>
          <w:sz w:val="22"/>
        </w:rPr>
      </w:sdtEndPr>
      <w:sdtContent>
        <w:p w:rsidR="006C3C85" w:rsidRDefault="006C3C85">
          <w:pPr>
            <w:pStyle w:val="Innehllsfrteckningsrubrik"/>
          </w:pPr>
          <w:r>
            <w:t>Innehåll</w:t>
          </w:r>
        </w:p>
        <w:p w:rsidR="006D31F8" w:rsidRDefault="006C3C85">
          <w:pPr>
            <w:pStyle w:val="Innehll1"/>
            <w:tabs>
              <w:tab w:val="right" w:leader="dot" w:pos="9062"/>
            </w:tabs>
            <w:rPr>
              <w:rFonts w:eastAsiaTheme="minorEastAsia"/>
              <w:noProof/>
              <w:szCs w:val="22"/>
              <w:lang w:eastAsia="sv-SE"/>
            </w:rPr>
          </w:pPr>
          <w:r>
            <w:fldChar w:fldCharType="begin"/>
          </w:r>
          <w:r>
            <w:instrText xml:space="preserve"> TOC \o "1-3" \h \z \u </w:instrText>
          </w:r>
          <w:r>
            <w:fldChar w:fldCharType="separate"/>
          </w:r>
          <w:hyperlink w:anchor="_Toc53409994" w:history="1">
            <w:r w:rsidR="006D31F8" w:rsidRPr="009549CC">
              <w:rPr>
                <w:rStyle w:val="Hyperlnk"/>
                <w:noProof/>
              </w:rPr>
              <w:t>World Class University</w:t>
            </w:r>
            <w:r w:rsidR="006D31F8">
              <w:rPr>
                <w:noProof/>
                <w:webHidden/>
              </w:rPr>
              <w:tab/>
            </w:r>
            <w:r w:rsidR="006D31F8">
              <w:rPr>
                <w:noProof/>
                <w:webHidden/>
              </w:rPr>
              <w:fldChar w:fldCharType="begin"/>
            </w:r>
            <w:r w:rsidR="006D31F8">
              <w:rPr>
                <w:noProof/>
                <w:webHidden/>
              </w:rPr>
              <w:instrText xml:space="preserve"> PAGEREF _Toc53409994 \h </w:instrText>
            </w:r>
            <w:r w:rsidR="006D31F8">
              <w:rPr>
                <w:noProof/>
                <w:webHidden/>
              </w:rPr>
            </w:r>
            <w:r w:rsidR="006D31F8">
              <w:rPr>
                <w:noProof/>
                <w:webHidden/>
              </w:rPr>
              <w:fldChar w:fldCharType="separate"/>
            </w:r>
            <w:r w:rsidR="006D31F8">
              <w:rPr>
                <w:noProof/>
                <w:webHidden/>
              </w:rPr>
              <w:t>3</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09995" w:history="1">
            <w:r w:rsidR="006D31F8" w:rsidRPr="009549CC">
              <w:rPr>
                <w:rStyle w:val="Hyperlnk"/>
                <w:noProof/>
              </w:rPr>
              <w:t>Rankningars genomslag</w:t>
            </w:r>
            <w:r w:rsidR="006D31F8">
              <w:rPr>
                <w:noProof/>
                <w:webHidden/>
              </w:rPr>
              <w:tab/>
            </w:r>
            <w:r w:rsidR="006D31F8">
              <w:rPr>
                <w:noProof/>
                <w:webHidden/>
              </w:rPr>
              <w:fldChar w:fldCharType="begin"/>
            </w:r>
            <w:r w:rsidR="006D31F8">
              <w:rPr>
                <w:noProof/>
                <w:webHidden/>
              </w:rPr>
              <w:instrText xml:space="preserve"> PAGEREF _Toc53409995 \h </w:instrText>
            </w:r>
            <w:r w:rsidR="006D31F8">
              <w:rPr>
                <w:noProof/>
                <w:webHidden/>
              </w:rPr>
            </w:r>
            <w:r w:rsidR="006D31F8">
              <w:rPr>
                <w:noProof/>
                <w:webHidden/>
              </w:rPr>
              <w:fldChar w:fldCharType="separate"/>
            </w:r>
            <w:r w:rsidR="006D31F8">
              <w:rPr>
                <w:noProof/>
                <w:webHidden/>
              </w:rPr>
              <w:t>4</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09996" w:history="1">
            <w:r w:rsidR="006D31F8" w:rsidRPr="009549CC">
              <w:rPr>
                <w:rStyle w:val="Hyperlnk"/>
                <w:noProof/>
              </w:rPr>
              <w:t>KTH:s styrkor och svagheter sett till rankningar</w:t>
            </w:r>
            <w:r w:rsidR="006D31F8">
              <w:rPr>
                <w:noProof/>
                <w:webHidden/>
              </w:rPr>
              <w:tab/>
            </w:r>
            <w:r w:rsidR="006D31F8">
              <w:rPr>
                <w:noProof/>
                <w:webHidden/>
              </w:rPr>
              <w:fldChar w:fldCharType="begin"/>
            </w:r>
            <w:r w:rsidR="006D31F8">
              <w:rPr>
                <w:noProof/>
                <w:webHidden/>
              </w:rPr>
              <w:instrText xml:space="preserve"> PAGEREF _Toc53409996 \h </w:instrText>
            </w:r>
            <w:r w:rsidR="006D31F8">
              <w:rPr>
                <w:noProof/>
                <w:webHidden/>
              </w:rPr>
            </w:r>
            <w:r w:rsidR="006D31F8">
              <w:rPr>
                <w:noProof/>
                <w:webHidden/>
              </w:rPr>
              <w:fldChar w:fldCharType="separate"/>
            </w:r>
            <w:r w:rsidR="006D31F8">
              <w:rPr>
                <w:noProof/>
                <w:webHidden/>
              </w:rPr>
              <w:t>5</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09997" w:history="1">
            <w:r w:rsidR="006D31F8" w:rsidRPr="009549CC">
              <w:rPr>
                <w:rStyle w:val="Hyperlnk"/>
                <w:noProof/>
              </w:rPr>
              <w:t>Indikatorer och viktning THE</w:t>
            </w:r>
            <w:r w:rsidR="006D31F8">
              <w:rPr>
                <w:noProof/>
                <w:webHidden/>
              </w:rPr>
              <w:tab/>
            </w:r>
            <w:r w:rsidR="006D31F8">
              <w:rPr>
                <w:noProof/>
                <w:webHidden/>
              </w:rPr>
              <w:fldChar w:fldCharType="begin"/>
            </w:r>
            <w:r w:rsidR="006D31F8">
              <w:rPr>
                <w:noProof/>
                <w:webHidden/>
              </w:rPr>
              <w:instrText xml:space="preserve"> PAGEREF _Toc53409997 \h </w:instrText>
            </w:r>
            <w:r w:rsidR="006D31F8">
              <w:rPr>
                <w:noProof/>
                <w:webHidden/>
              </w:rPr>
            </w:r>
            <w:r w:rsidR="006D31F8">
              <w:rPr>
                <w:noProof/>
                <w:webHidden/>
              </w:rPr>
              <w:fldChar w:fldCharType="separate"/>
            </w:r>
            <w:r w:rsidR="006D31F8">
              <w:rPr>
                <w:noProof/>
                <w:webHidden/>
              </w:rPr>
              <w:t>6</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09998" w:history="1">
            <w:r w:rsidR="006D31F8" w:rsidRPr="009549CC">
              <w:rPr>
                <w:rStyle w:val="Hyperlnk"/>
                <w:noProof/>
              </w:rPr>
              <w:t>Indikatorer och viktning QS</w:t>
            </w:r>
            <w:r w:rsidR="006D31F8">
              <w:rPr>
                <w:noProof/>
                <w:webHidden/>
              </w:rPr>
              <w:tab/>
            </w:r>
            <w:r w:rsidR="006D31F8">
              <w:rPr>
                <w:noProof/>
                <w:webHidden/>
              </w:rPr>
              <w:fldChar w:fldCharType="begin"/>
            </w:r>
            <w:r w:rsidR="006D31F8">
              <w:rPr>
                <w:noProof/>
                <w:webHidden/>
              </w:rPr>
              <w:instrText xml:space="preserve"> PAGEREF _Toc53409998 \h </w:instrText>
            </w:r>
            <w:r w:rsidR="006D31F8">
              <w:rPr>
                <w:noProof/>
                <w:webHidden/>
              </w:rPr>
            </w:r>
            <w:r w:rsidR="006D31F8">
              <w:rPr>
                <w:noProof/>
                <w:webHidden/>
              </w:rPr>
              <w:fldChar w:fldCharType="separate"/>
            </w:r>
            <w:r w:rsidR="006D31F8">
              <w:rPr>
                <w:noProof/>
                <w:webHidden/>
              </w:rPr>
              <w:t>7</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09999" w:history="1">
            <w:r w:rsidR="006D31F8" w:rsidRPr="009549CC">
              <w:rPr>
                <w:rStyle w:val="Hyperlnk"/>
                <w:noProof/>
              </w:rPr>
              <w:t>Metod THE och QS</w:t>
            </w:r>
            <w:r w:rsidR="006D31F8">
              <w:rPr>
                <w:noProof/>
                <w:webHidden/>
              </w:rPr>
              <w:tab/>
            </w:r>
            <w:r w:rsidR="006D31F8">
              <w:rPr>
                <w:noProof/>
                <w:webHidden/>
              </w:rPr>
              <w:fldChar w:fldCharType="begin"/>
            </w:r>
            <w:r w:rsidR="006D31F8">
              <w:rPr>
                <w:noProof/>
                <w:webHidden/>
              </w:rPr>
              <w:instrText xml:space="preserve"> PAGEREF _Toc53409999 \h </w:instrText>
            </w:r>
            <w:r w:rsidR="006D31F8">
              <w:rPr>
                <w:noProof/>
                <w:webHidden/>
              </w:rPr>
            </w:r>
            <w:r w:rsidR="006D31F8">
              <w:rPr>
                <w:noProof/>
                <w:webHidden/>
              </w:rPr>
              <w:fldChar w:fldCharType="separate"/>
            </w:r>
            <w:r w:rsidR="006D31F8">
              <w:rPr>
                <w:noProof/>
                <w:webHidden/>
              </w:rPr>
              <w:t>7</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00" w:history="1">
            <w:r w:rsidR="006D31F8" w:rsidRPr="009549CC">
              <w:rPr>
                <w:rStyle w:val="Hyperlnk"/>
                <w:noProof/>
              </w:rPr>
              <w:t>Ryktesmätningar</w:t>
            </w:r>
            <w:r w:rsidR="006D31F8">
              <w:rPr>
                <w:noProof/>
                <w:webHidden/>
              </w:rPr>
              <w:tab/>
            </w:r>
            <w:r w:rsidR="006D31F8">
              <w:rPr>
                <w:noProof/>
                <w:webHidden/>
              </w:rPr>
              <w:fldChar w:fldCharType="begin"/>
            </w:r>
            <w:r w:rsidR="006D31F8">
              <w:rPr>
                <w:noProof/>
                <w:webHidden/>
              </w:rPr>
              <w:instrText xml:space="preserve"> PAGEREF _Toc53410000 \h </w:instrText>
            </w:r>
            <w:r w:rsidR="006D31F8">
              <w:rPr>
                <w:noProof/>
                <w:webHidden/>
              </w:rPr>
            </w:r>
            <w:r w:rsidR="006D31F8">
              <w:rPr>
                <w:noProof/>
                <w:webHidden/>
              </w:rPr>
              <w:fldChar w:fldCharType="separate"/>
            </w:r>
            <w:r w:rsidR="006D31F8">
              <w:rPr>
                <w:noProof/>
                <w:webHidden/>
              </w:rPr>
              <w:t>8</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01" w:history="1">
            <w:r w:rsidR="006D31F8" w:rsidRPr="009549CC">
              <w:rPr>
                <w:rStyle w:val="Hyperlnk"/>
                <w:noProof/>
              </w:rPr>
              <w:t>Bibliometri</w:t>
            </w:r>
            <w:r w:rsidR="006D31F8">
              <w:rPr>
                <w:noProof/>
                <w:webHidden/>
              </w:rPr>
              <w:tab/>
            </w:r>
            <w:r w:rsidR="006D31F8">
              <w:rPr>
                <w:noProof/>
                <w:webHidden/>
              </w:rPr>
              <w:fldChar w:fldCharType="begin"/>
            </w:r>
            <w:r w:rsidR="006D31F8">
              <w:rPr>
                <w:noProof/>
                <w:webHidden/>
              </w:rPr>
              <w:instrText xml:space="preserve"> PAGEREF _Toc53410001 \h </w:instrText>
            </w:r>
            <w:r w:rsidR="006D31F8">
              <w:rPr>
                <w:noProof/>
                <w:webHidden/>
              </w:rPr>
            </w:r>
            <w:r w:rsidR="006D31F8">
              <w:rPr>
                <w:noProof/>
                <w:webHidden/>
              </w:rPr>
              <w:fldChar w:fldCharType="separate"/>
            </w:r>
            <w:r w:rsidR="006D31F8">
              <w:rPr>
                <w:noProof/>
                <w:webHidden/>
              </w:rPr>
              <w:t>9</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02" w:history="1">
            <w:r w:rsidR="006D31F8" w:rsidRPr="009549CC">
              <w:rPr>
                <w:rStyle w:val="Hyperlnk"/>
                <w:noProof/>
              </w:rPr>
              <w:t>Prestation- och andelsmått</w:t>
            </w:r>
            <w:r w:rsidR="006D31F8">
              <w:rPr>
                <w:noProof/>
                <w:webHidden/>
              </w:rPr>
              <w:tab/>
            </w:r>
            <w:r w:rsidR="006D31F8">
              <w:rPr>
                <w:noProof/>
                <w:webHidden/>
              </w:rPr>
              <w:fldChar w:fldCharType="begin"/>
            </w:r>
            <w:r w:rsidR="006D31F8">
              <w:rPr>
                <w:noProof/>
                <w:webHidden/>
              </w:rPr>
              <w:instrText xml:space="preserve"> PAGEREF _Toc53410002 \h </w:instrText>
            </w:r>
            <w:r w:rsidR="006D31F8">
              <w:rPr>
                <w:noProof/>
                <w:webHidden/>
              </w:rPr>
            </w:r>
            <w:r w:rsidR="006D31F8">
              <w:rPr>
                <w:noProof/>
                <w:webHidden/>
              </w:rPr>
              <w:fldChar w:fldCharType="separate"/>
            </w:r>
            <w:r w:rsidR="006D31F8">
              <w:rPr>
                <w:noProof/>
                <w:webHidden/>
              </w:rPr>
              <w:t>10</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03" w:history="1">
            <w:r w:rsidR="006D31F8" w:rsidRPr="009549CC">
              <w:rPr>
                <w:rStyle w:val="Hyperlnk"/>
                <w:noProof/>
                <w:lang w:val="en-US"/>
              </w:rPr>
              <w:t>Resultat KTH i THE och QS</w:t>
            </w:r>
            <w:r w:rsidR="006D31F8">
              <w:rPr>
                <w:noProof/>
                <w:webHidden/>
              </w:rPr>
              <w:tab/>
            </w:r>
            <w:r w:rsidR="006D31F8">
              <w:rPr>
                <w:noProof/>
                <w:webHidden/>
              </w:rPr>
              <w:fldChar w:fldCharType="begin"/>
            </w:r>
            <w:r w:rsidR="006D31F8">
              <w:rPr>
                <w:noProof/>
                <w:webHidden/>
              </w:rPr>
              <w:instrText xml:space="preserve"> PAGEREF _Toc53410003 \h </w:instrText>
            </w:r>
            <w:r w:rsidR="006D31F8">
              <w:rPr>
                <w:noProof/>
                <w:webHidden/>
              </w:rPr>
            </w:r>
            <w:r w:rsidR="006D31F8">
              <w:rPr>
                <w:noProof/>
                <w:webHidden/>
              </w:rPr>
              <w:fldChar w:fldCharType="separate"/>
            </w:r>
            <w:r w:rsidR="006D31F8">
              <w:rPr>
                <w:noProof/>
                <w:webHidden/>
              </w:rPr>
              <w:t>10</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04" w:history="1">
            <w:r w:rsidR="006D31F8" w:rsidRPr="009549CC">
              <w:rPr>
                <w:rStyle w:val="Hyperlnk"/>
                <w:noProof/>
                <w:lang w:val="en-US"/>
              </w:rPr>
              <w:t>THE:</w:t>
            </w:r>
            <w:r w:rsidR="006D31F8">
              <w:rPr>
                <w:noProof/>
                <w:webHidden/>
              </w:rPr>
              <w:tab/>
            </w:r>
            <w:r w:rsidR="006D31F8">
              <w:rPr>
                <w:noProof/>
                <w:webHidden/>
              </w:rPr>
              <w:fldChar w:fldCharType="begin"/>
            </w:r>
            <w:r w:rsidR="006D31F8">
              <w:rPr>
                <w:noProof/>
                <w:webHidden/>
              </w:rPr>
              <w:instrText xml:space="preserve"> PAGEREF _Toc53410004 \h </w:instrText>
            </w:r>
            <w:r w:rsidR="006D31F8">
              <w:rPr>
                <w:noProof/>
                <w:webHidden/>
              </w:rPr>
            </w:r>
            <w:r w:rsidR="006D31F8">
              <w:rPr>
                <w:noProof/>
                <w:webHidden/>
              </w:rPr>
              <w:fldChar w:fldCharType="separate"/>
            </w:r>
            <w:r w:rsidR="006D31F8">
              <w:rPr>
                <w:noProof/>
                <w:webHidden/>
              </w:rPr>
              <w:t>10</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05" w:history="1">
            <w:r w:rsidR="006D31F8" w:rsidRPr="009549CC">
              <w:rPr>
                <w:rStyle w:val="Hyperlnk"/>
                <w:noProof/>
              </w:rPr>
              <w:t>QS:</w:t>
            </w:r>
            <w:r w:rsidR="006D31F8">
              <w:rPr>
                <w:noProof/>
                <w:webHidden/>
              </w:rPr>
              <w:tab/>
            </w:r>
            <w:r w:rsidR="006D31F8">
              <w:rPr>
                <w:noProof/>
                <w:webHidden/>
              </w:rPr>
              <w:fldChar w:fldCharType="begin"/>
            </w:r>
            <w:r w:rsidR="006D31F8">
              <w:rPr>
                <w:noProof/>
                <w:webHidden/>
              </w:rPr>
              <w:instrText xml:space="preserve"> PAGEREF _Toc53410005 \h </w:instrText>
            </w:r>
            <w:r w:rsidR="006D31F8">
              <w:rPr>
                <w:noProof/>
                <w:webHidden/>
              </w:rPr>
            </w:r>
            <w:r w:rsidR="006D31F8">
              <w:rPr>
                <w:noProof/>
                <w:webHidden/>
              </w:rPr>
              <w:fldChar w:fldCharType="separate"/>
            </w:r>
            <w:r w:rsidR="006D31F8">
              <w:rPr>
                <w:noProof/>
                <w:webHidden/>
              </w:rPr>
              <w:t>11</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06" w:history="1">
            <w:r w:rsidR="006D31F8" w:rsidRPr="009549CC">
              <w:rPr>
                <w:rStyle w:val="Hyperlnk"/>
                <w:noProof/>
              </w:rPr>
              <w:t>Utveckling rankning</w:t>
            </w:r>
            <w:r w:rsidR="006D31F8">
              <w:rPr>
                <w:noProof/>
                <w:webHidden/>
              </w:rPr>
              <w:tab/>
            </w:r>
            <w:r w:rsidR="006D31F8">
              <w:rPr>
                <w:noProof/>
                <w:webHidden/>
              </w:rPr>
              <w:fldChar w:fldCharType="begin"/>
            </w:r>
            <w:r w:rsidR="006D31F8">
              <w:rPr>
                <w:noProof/>
                <w:webHidden/>
              </w:rPr>
              <w:instrText xml:space="preserve"> PAGEREF _Toc53410006 \h </w:instrText>
            </w:r>
            <w:r w:rsidR="006D31F8">
              <w:rPr>
                <w:noProof/>
                <w:webHidden/>
              </w:rPr>
            </w:r>
            <w:r w:rsidR="006D31F8">
              <w:rPr>
                <w:noProof/>
                <w:webHidden/>
              </w:rPr>
              <w:fldChar w:fldCharType="separate"/>
            </w:r>
            <w:r w:rsidR="006D31F8">
              <w:rPr>
                <w:noProof/>
                <w:webHidden/>
              </w:rPr>
              <w:t>11</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07" w:history="1">
            <w:r w:rsidR="006D31F8" w:rsidRPr="009549CC">
              <w:rPr>
                <w:rStyle w:val="Hyperlnk"/>
                <w:noProof/>
              </w:rPr>
              <w:t>Handlingsplan</w:t>
            </w:r>
            <w:r w:rsidR="006D31F8">
              <w:rPr>
                <w:noProof/>
                <w:webHidden/>
              </w:rPr>
              <w:tab/>
            </w:r>
            <w:r w:rsidR="006D31F8">
              <w:rPr>
                <w:noProof/>
                <w:webHidden/>
              </w:rPr>
              <w:fldChar w:fldCharType="begin"/>
            </w:r>
            <w:r w:rsidR="006D31F8">
              <w:rPr>
                <w:noProof/>
                <w:webHidden/>
              </w:rPr>
              <w:instrText xml:space="preserve"> PAGEREF _Toc53410007 \h </w:instrText>
            </w:r>
            <w:r w:rsidR="006D31F8">
              <w:rPr>
                <w:noProof/>
                <w:webHidden/>
              </w:rPr>
            </w:r>
            <w:r w:rsidR="006D31F8">
              <w:rPr>
                <w:noProof/>
                <w:webHidden/>
              </w:rPr>
              <w:fldChar w:fldCharType="separate"/>
            </w:r>
            <w:r w:rsidR="006D31F8">
              <w:rPr>
                <w:noProof/>
                <w:webHidden/>
              </w:rPr>
              <w:t>11</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08" w:history="1">
            <w:r w:rsidR="006D31F8" w:rsidRPr="009549CC">
              <w:rPr>
                <w:rStyle w:val="Hyperlnk"/>
                <w:noProof/>
              </w:rPr>
              <w:t>Forskning</w:t>
            </w:r>
            <w:r w:rsidR="006D31F8">
              <w:rPr>
                <w:noProof/>
                <w:webHidden/>
              </w:rPr>
              <w:tab/>
            </w:r>
            <w:r w:rsidR="006D31F8">
              <w:rPr>
                <w:noProof/>
                <w:webHidden/>
              </w:rPr>
              <w:fldChar w:fldCharType="begin"/>
            </w:r>
            <w:r w:rsidR="006D31F8">
              <w:rPr>
                <w:noProof/>
                <w:webHidden/>
              </w:rPr>
              <w:instrText xml:space="preserve"> PAGEREF _Toc53410008 \h </w:instrText>
            </w:r>
            <w:r w:rsidR="006D31F8">
              <w:rPr>
                <w:noProof/>
                <w:webHidden/>
              </w:rPr>
            </w:r>
            <w:r w:rsidR="006D31F8">
              <w:rPr>
                <w:noProof/>
                <w:webHidden/>
              </w:rPr>
              <w:fldChar w:fldCharType="separate"/>
            </w:r>
            <w:r w:rsidR="006D31F8">
              <w:rPr>
                <w:noProof/>
                <w:webHidden/>
              </w:rPr>
              <w:t>12</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09" w:history="1">
            <w:r w:rsidR="006D31F8" w:rsidRPr="009549CC">
              <w:rPr>
                <w:rStyle w:val="Hyperlnk"/>
                <w:noProof/>
              </w:rPr>
              <w:t>Satsningar på excellens och infrastruktur</w:t>
            </w:r>
            <w:r w:rsidR="006D31F8">
              <w:rPr>
                <w:noProof/>
                <w:webHidden/>
              </w:rPr>
              <w:tab/>
            </w:r>
            <w:r w:rsidR="006D31F8">
              <w:rPr>
                <w:noProof/>
                <w:webHidden/>
              </w:rPr>
              <w:fldChar w:fldCharType="begin"/>
            </w:r>
            <w:r w:rsidR="006D31F8">
              <w:rPr>
                <w:noProof/>
                <w:webHidden/>
              </w:rPr>
              <w:instrText xml:space="preserve"> PAGEREF _Toc53410009 \h </w:instrText>
            </w:r>
            <w:r w:rsidR="006D31F8">
              <w:rPr>
                <w:noProof/>
                <w:webHidden/>
              </w:rPr>
            </w:r>
            <w:r w:rsidR="006D31F8">
              <w:rPr>
                <w:noProof/>
                <w:webHidden/>
              </w:rPr>
              <w:fldChar w:fldCharType="separate"/>
            </w:r>
            <w:r w:rsidR="006D31F8">
              <w:rPr>
                <w:noProof/>
                <w:webHidden/>
              </w:rPr>
              <w:t>12</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10" w:history="1">
            <w:r w:rsidR="006D31F8" w:rsidRPr="009549CC">
              <w:rPr>
                <w:rStyle w:val="Hyperlnk"/>
                <w:noProof/>
              </w:rPr>
              <w:t>Förstärkning av fakultet</w:t>
            </w:r>
            <w:r w:rsidR="006D31F8">
              <w:rPr>
                <w:noProof/>
                <w:webHidden/>
              </w:rPr>
              <w:tab/>
            </w:r>
            <w:r w:rsidR="006D31F8">
              <w:rPr>
                <w:noProof/>
                <w:webHidden/>
              </w:rPr>
              <w:fldChar w:fldCharType="begin"/>
            </w:r>
            <w:r w:rsidR="006D31F8">
              <w:rPr>
                <w:noProof/>
                <w:webHidden/>
              </w:rPr>
              <w:instrText xml:space="preserve"> PAGEREF _Toc53410010 \h </w:instrText>
            </w:r>
            <w:r w:rsidR="006D31F8">
              <w:rPr>
                <w:noProof/>
                <w:webHidden/>
              </w:rPr>
            </w:r>
            <w:r w:rsidR="006D31F8">
              <w:rPr>
                <w:noProof/>
                <w:webHidden/>
              </w:rPr>
              <w:fldChar w:fldCharType="separate"/>
            </w:r>
            <w:r w:rsidR="006D31F8">
              <w:rPr>
                <w:noProof/>
                <w:webHidden/>
              </w:rPr>
              <w:t>13</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11" w:history="1">
            <w:r w:rsidR="006D31F8" w:rsidRPr="009549CC">
              <w:rPr>
                <w:rStyle w:val="Hyperlnk"/>
                <w:noProof/>
              </w:rPr>
              <w:t>Satsningar på ledarskap</w:t>
            </w:r>
            <w:r w:rsidR="006D31F8">
              <w:rPr>
                <w:noProof/>
                <w:webHidden/>
              </w:rPr>
              <w:tab/>
            </w:r>
            <w:r w:rsidR="006D31F8">
              <w:rPr>
                <w:noProof/>
                <w:webHidden/>
              </w:rPr>
              <w:fldChar w:fldCharType="begin"/>
            </w:r>
            <w:r w:rsidR="006D31F8">
              <w:rPr>
                <w:noProof/>
                <w:webHidden/>
              </w:rPr>
              <w:instrText xml:space="preserve"> PAGEREF _Toc53410011 \h </w:instrText>
            </w:r>
            <w:r w:rsidR="006D31F8">
              <w:rPr>
                <w:noProof/>
                <w:webHidden/>
              </w:rPr>
            </w:r>
            <w:r w:rsidR="006D31F8">
              <w:rPr>
                <w:noProof/>
                <w:webHidden/>
              </w:rPr>
              <w:fldChar w:fldCharType="separate"/>
            </w:r>
            <w:r w:rsidR="006D31F8">
              <w:rPr>
                <w:noProof/>
                <w:webHidden/>
              </w:rPr>
              <w:t>13</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12" w:history="1">
            <w:r w:rsidR="006D31F8" w:rsidRPr="009549CC">
              <w:rPr>
                <w:rStyle w:val="Hyperlnk"/>
                <w:noProof/>
              </w:rPr>
              <w:t>Organisatoriska förändringar</w:t>
            </w:r>
            <w:r w:rsidR="006D31F8">
              <w:rPr>
                <w:noProof/>
                <w:webHidden/>
              </w:rPr>
              <w:tab/>
            </w:r>
            <w:r w:rsidR="006D31F8">
              <w:rPr>
                <w:noProof/>
                <w:webHidden/>
              </w:rPr>
              <w:fldChar w:fldCharType="begin"/>
            </w:r>
            <w:r w:rsidR="006D31F8">
              <w:rPr>
                <w:noProof/>
                <w:webHidden/>
              </w:rPr>
              <w:instrText xml:space="preserve"> PAGEREF _Toc53410012 \h </w:instrText>
            </w:r>
            <w:r w:rsidR="006D31F8">
              <w:rPr>
                <w:noProof/>
                <w:webHidden/>
              </w:rPr>
            </w:r>
            <w:r w:rsidR="006D31F8">
              <w:rPr>
                <w:noProof/>
                <w:webHidden/>
              </w:rPr>
              <w:fldChar w:fldCharType="separate"/>
            </w:r>
            <w:r w:rsidR="006D31F8">
              <w:rPr>
                <w:noProof/>
                <w:webHidden/>
              </w:rPr>
              <w:t>13</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13" w:history="1">
            <w:r w:rsidR="006D31F8" w:rsidRPr="009549CC">
              <w:rPr>
                <w:rStyle w:val="Hyperlnk"/>
                <w:noProof/>
              </w:rPr>
              <w:t>Forskningssynlighet</w:t>
            </w:r>
            <w:r w:rsidR="006D31F8">
              <w:rPr>
                <w:noProof/>
                <w:webHidden/>
              </w:rPr>
              <w:tab/>
            </w:r>
            <w:r w:rsidR="006D31F8">
              <w:rPr>
                <w:noProof/>
                <w:webHidden/>
              </w:rPr>
              <w:fldChar w:fldCharType="begin"/>
            </w:r>
            <w:r w:rsidR="006D31F8">
              <w:rPr>
                <w:noProof/>
                <w:webHidden/>
              </w:rPr>
              <w:instrText xml:space="preserve"> PAGEREF _Toc53410013 \h </w:instrText>
            </w:r>
            <w:r w:rsidR="006D31F8">
              <w:rPr>
                <w:noProof/>
                <w:webHidden/>
              </w:rPr>
            </w:r>
            <w:r w:rsidR="006D31F8">
              <w:rPr>
                <w:noProof/>
                <w:webHidden/>
              </w:rPr>
              <w:fldChar w:fldCharType="separate"/>
            </w:r>
            <w:r w:rsidR="006D31F8">
              <w:rPr>
                <w:noProof/>
                <w:webHidden/>
              </w:rPr>
              <w:t>13</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14" w:history="1">
            <w:r w:rsidR="006D31F8" w:rsidRPr="009549CC">
              <w:rPr>
                <w:rStyle w:val="Hyperlnk"/>
                <w:noProof/>
              </w:rPr>
              <w:t>Kvalitetsutvärderingar</w:t>
            </w:r>
            <w:r w:rsidR="006D31F8">
              <w:rPr>
                <w:noProof/>
                <w:webHidden/>
              </w:rPr>
              <w:tab/>
            </w:r>
            <w:r w:rsidR="006D31F8">
              <w:rPr>
                <w:noProof/>
                <w:webHidden/>
              </w:rPr>
              <w:fldChar w:fldCharType="begin"/>
            </w:r>
            <w:r w:rsidR="006D31F8">
              <w:rPr>
                <w:noProof/>
                <w:webHidden/>
              </w:rPr>
              <w:instrText xml:space="preserve"> PAGEREF _Toc53410014 \h </w:instrText>
            </w:r>
            <w:r w:rsidR="006D31F8">
              <w:rPr>
                <w:noProof/>
                <w:webHidden/>
              </w:rPr>
            </w:r>
            <w:r w:rsidR="006D31F8">
              <w:rPr>
                <w:noProof/>
                <w:webHidden/>
              </w:rPr>
              <w:fldChar w:fldCharType="separate"/>
            </w:r>
            <w:r w:rsidR="006D31F8">
              <w:rPr>
                <w:noProof/>
                <w:webHidden/>
              </w:rPr>
              <w:t>14</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15" w:history="1">
            <w:r w:rsidR="006D31F8" w:rsidRPr="009549CC">
              <w:rPr>
                <w:rStyle w:val="Hyperlnk"/>
                <w:noProof/>
              </w:rPr>
              <w:t>Resursfördelning/ belöningar</w:t>
            </w:r>
            <w:r w:rsidR="006D31F8">
              <w:rPr>
                <w:noProof/>
                <w:webHidden/>
              </w:rPr>
              <w:tab/>
            </w:r>
            <w:r w:rsidR="006D31F8">
              <w:rPr>
                <w:noProof/>
                <w:webHidden/>
              </w:rPr>
              <w:fldChar w:fldCharType="begin"/>
            </w:r>
            <w:r w:rsidR="006D31F8">
              <w:rPr>
                <w:noProof/>
                <w:webHidden/>
              </w:rPr>
              <w:instrText xml:space="preserve"> PAGEREF _Toc53410015 \h </w:instrText>
            </w:r>
            <w:r w:rsidR="006D31F8">
              <w:rPr>
                <w:noProof/>
                <w:webHidden/>
              </w:rPr>
            </w:r>
            <w:r w:rsidR="006D31F8">
              <w:rPr>
                <w:noProof/>
                <w:webHidden/>
              </w:rPr>
              <w:fldChar w:fldCharType="separate"/>
            </w:r>
            <w:r w:rsidR="006D31F8">
              <w:rPr>
                <w:noProof/>
                <w:webHidden/>
              </w:rPr>
              <w:t>14</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16" w:history="1">
            <w:r w:rsidR="006D31F8" w:rsidRPr="009549CC">
              <w:rPr>
                <w:rStyle w:val="Hyperlnk"/>
                <w:noProof/>
              </w:rPr>
              <w:t>Forskningsinstitut</w:t>
            </w:r>
            <w:r w:rsidR="006D31F8">
              <w:rPr>
                <w:noProof/>
                <w:webHidden/>
              </w:rPr>
              <w:tab/>
            </w:r>
            <w:r w:rsidR="006D31F8">
              <w:rPr>
                <w:noProof/>
                <w:webHidden/>
              </w:rPr>
              <w:fldChar w:fldCharType="begin"/>
            </w:r>
            <w:r w:rsidR="006D31F8">
              <w:rPr>
                <w:noProof/>
                <w:webHidden/>
              </w:rPr>
              <w:instrText xml:space="preserve"> PAGEREF _Toc53410016 \h </w:instrText>
            </w:r>
            <w:r w:rsidR="006D31F8">
              <w:rPr>
                <w:noProof/>
                <w:webHidden/>
              </w:rPr>
            </w:r>
            <w:r w:rsidR="006D31F8">
              <w:rPr>
                <w:noProof/>
                <w:webHidden/>
              </w:rPr>
              <w:fldChar w:fldCharType="separate"/>
            </w:r>
            <w:r w:rsidR="006D31F8">
              <w:rPr>
                <w:noProof/>
                <w:webHidden/>
              </w:rPr>
              <w:t>15</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17" w:history="1">
            <w:r w:rsidR="006D31F8" w:rsidRPr="009549CC">
              <w:rPr>
                <w:rStyle w:val="Hyperlnk"/>
                <w:noProof/>
              </w:rPr>
              <w:t>Utbildning</w:t>
            </w:r>
            <w:r w:rsidR="006D31F8">
              <w:rPr>
                <w:noProof/>
                <w:webHidden/>
              </w:rPr>
              <w:tab/>
            </w:r>
            <w:r w:rsidR="006D31F8">
              <w:rPr>
                <w:noProof/>
                <w:webHidden/>
              </w:rPr>
              <w:fldChar w:fldCharType="begin"/>
            </w:r>
            <w:r w:rsidR="006D31F8">
              <w:rPr>
                <w:noProof/>
                <w:webHidden/>
              </w:rPr>
              <w:instrText xml:space="preserve"> PAGEREF _Toc53410017 \h </w:instrText>
            </w:r>
            <w:r w:rsidR="006D31F8">
              <w:rPr>
                <w:noProof/>
                <w:webHidden/>
              </w:rPr>
            </w:r>
            <w:r w:rsidR="006D31F8">
              <w:rPr>
                <w:noProof/>
                <w:webHidden/>
              </w:rPr>
              <w:fldChar w:fldCharType="separate"/>
            </w:r>
            <w:r w:rsidR="006D31F8">
              <w:rPr>
                <w:noProof/>
                <w:webHidden/>
              </w:rPr>
              <w:t>15</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18" w:history="1">
            <w:r w:rsidR="006D31F8" w:rsidRPr="009549CC">
              <w:rPr>
                <w:rStyle w:val="Hyperlnk"/>
                <w:noProof/>
              </w:rPr>
              <w:t>Internationalisering</w:t>
            </w:r>
            <w:r w:rsidR="006D31F8">
              <w:rPr>
                <w:noProof/>
                <w:webHidden/>
              </w:rPr>
              <w:tab/>
            </w:r>
            <w:r w:rsidR="006D31F8">
              <w:rPr>
                <w:noProof/>
                <w:webHidden/>
              </w:rPr>
              <w:fldChar w:fldCharType="begin"/>
            </w:r>
            <w:r w:rsidR="006D31F8">
              <w:rPr>
                <w:noProof/>
                <w:webHidden/>
              </w:rPr>
              <w:instrText xml:space="preserve"> PAGEREF _Toc53410018 \h </w:instrText>
            </w:r>
            <w:r w:rsidR="006D31F8">
              <w:rPr>
                <w:noProof/>
                <w:webHidden/>
              </w:rPr>
            </w:r>
            <w:r w:rsidR="006D31F8">
              <w:rPr>
                <w:noProof/>
                <w:webHidden/>
              </w:rPr>
              <w:fldChar w:fldCharType="separate"/>
            </w:r>
            <w:r w:rsidR="006D31F8">
              <w:rPr>
                <w:noProof/>
                <w:webHidden/>
              </w:rPr>
              <w:t>15</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19" w:history="1">
            <w:r w:rsidR="006D31F8" w:rsidRPr="009549CC">
              <w:rPr>
                <w:rStyle w:val="Hyperlnk"/>
                <w:noProof/>
              </w:rPr>
              <w:t>Innovation och samverkan</w:t>
            </w:r>
            <w:r w:rsidR="006D31F8">
              <w:rPr>
                <w:noProof/>
                <w:webHidden/>
              </w:rPr>
              <w:tab/>
            </w:r>
            <w:r w:rsidR="006D31F8">
              <w:rPr>
                <w:noProof/>
                <w:webHidden/>
              </w:rPr>
              <w:fldChar w:fldCharType="begin"/>
            </w:r>
            <w:r w:rsidR="006D31F8">
              <w:rPr>
                <w:noProof/>
                <w:webHidden/>
              </w:rPr>
              <w:instrText xml:space="preserve"> PAGEREF _Toc53410019 \h </w:instrText>
            </w:r>
            <w:r w:rsidR="006D31F8">
              <w:rPr>
                <w:noProof/>
                <w:webHidden/>
              </w:rPr>
            </w:r>
            <w:r w:rsidR="006D31F8">
              <w:rPr>
                <w:noProof/>
                <w:webHidden/>
              </w:rPr>
              <w:fldChar w:fldCharType="separate"/>
            </w:r>
            <w:r w:rsidR="006D31F8">
              <w:rPr>
                <w:noProof/>
                <w:webHidden/>
              </w:rPr>
              <w:t>16</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20" w:history="1">
            <w:r w:rsidR="006D31F8" w:rsidRPr="009549CC">
              <w:rPr>
                <w:rStyle w:val="Hyperlnk"/>
                <w:noProof/>
              </w:rPr>
              <w:t>Synlighet och varumärkesförstärkning</w:t>
            </w:r>
            <w:r w:rsidR="006D31F8">
              <w:rPr>
                <w:noProof/>
                <w:webHidden/>
              </w:rPr>
              <w:tab/>
            </w:r>
            <w:r w:rsidR="006D31F8">
              <w:rPr>
                <w:noProof/>
                <w:webHidden/>
              </w:rPr>
              <w:fldChar w:fldCharType="begin"/>
            </w:r>
            <w:r w:rsidR="006D31F8">
              <w:rPr>
                <w:noProof/>
                <w:webHidden/>
              </w:rPr>
              <w:instrText xml:space="preserve"> PAGEREF _Toc53410020 \h </w:instrText>
            </w:r>
            <w:r w:rsidR="006D31F8">
              <w:rPr>
                <w:noProof/>
                <w:webHidden/>
              </w:rPr>
            </w:r>
            <w:r w:rsidR="006D31F8">
              <w:rPr>
                <w:noProof/>
                <w:webHidden/>
              </w:rPr>
              <w:fldChar w:fldCharType="separate"/>
            </w:r>
            <w:r w:rsidR="006D31F8">
              <w:rPr>
                <w:noProof/>
                <w:webHidden/>
              </w:rPr>
              <w:t>17</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21" w:history="1">
            <w:r w:rsidR="006D31F8" w:rsidRPr="009549CC">
              <w:rPr>
                <w:rStyle w:val="Hyperlnk"/>
                <w:noProof/>
              </w:rPr>
              <w:t>Intern förstärkning</w:t>
            </w:r>
            <w:r w:rsidR="006D31F8">
              <w:rPr>
                <w:noProof/>
                <w:webHidden/>
              </w:rPr>
              <w:tab/>
            </w:r>
            <w:r w:rsidR="006D31F8">
              <w:rPr>
                <w:noProof/>
                <w:webHidden/>
              </w:rPr>
              <w:fldChar w:fldCharType="begin"/>
            </w:r>
            <w:r w:rsidR="006D31F8">
              <w:rPr>
                <w:noProof/>
                <w:webHidden/>
              </w:rPr>
              <w:instrText xml:space="preserve"> PAGEREF _Toc53410021 \h </w:instrText>
            </w:r>
            <w:r w:rsidR="006D31F8">
              <w:rPr>
                <w:noProof/>
                <w:webHidden/>
              </w:rPr>
            </w:r>
            <w:r w:rsidR="006D31F8">
              <w:rPr>
                <w:noProof/>
                <w:webHidden/>
              </w:rPr>
              <w:fldChar w:fldCharType="separate"/>
            </w:r>
            <w:r w:rsidR="006D31F8">
              <w:rPr>
                <w:noProof/>
                <w:webHidden/>
              </w:rPr>
              <w:t>17</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22" w:history="1">
            <w:r w:rsidR="006D31F8" w:rsidRPr="009549CC">
              <w:rPr>
                <w:rStyle w:val="Hyperlnk"/>
                <w:noProof/>
              </w:rPr>
              <w:t>Ambassadörskap och relationer</w:t>
            </w:r>
            <w:r w:rsidR="006D31F8">
              <w:rPr>
                <w:noProof/>
                <w:webHidden/>
              </w:rPr>
              <w:tab/>
            </w:r>
            <w:r w:rsidR="006D31F8">
              <w:rPr>
                <w:noProof/>
                <w:webHidden/>
              </w:rPr>
              <w:fldChar w:fldCharType="begin"/>
            </w:r>
            <w:r w:rsidR="006D31F8">
              <w:rPr>
                <w:noProof/>
                <w:webHidden/>
              </w:rPr>
              <w:instrText xml:space="preserve"> PAGEREF _Toc53410022 \h </w:instrText>
            </w:r>
            <w:r w:rsidR="006D31F8">
              <w:rPr>
                <w:noProof/>
                <w:webHidden/>
              </w:rPr>
            </w:r>
            <w:r w:rsidR="006D31F8">
              <w:rPr>
                <w:noProof/>
                <w:webHidden/>
              </w:rPr>
              <w:fldChar w:fldCharType="separate"/>
            </w:r>
            <w:r w:rsidR="006D31F8">
              <w:rPr>
                <w:noProof/>
                <w:webHidden/>
              </w:rPr>
              <w:t>17</w:t>
            </w:r>
            <w:r w:rsidR="006D31F8">
              <w:rPr>
                <w:noProof/>
                <w:webHidden/>
              </w:rPr>
              <w:fldChar w:fldCharType="end"/>
            </w:r>
          </w:hyperlink>
        </w:p>
        <w:p w:rsidR="006D31F8" w:rsidRDefault="009F19B8">
          <w:pPr>
            <w:pStyle w:val="Innehll2"/>
            <w:tabs>
              <w:tab w:val="right" w:leader="dot" w:pos="9062"/>
            </w:tabs>
            <w:rPr>
              <w:rFonts w:eastAsiaTheme="minorEastAsia"/>
              <w:noProof/>
              <w:szCs w:val="22"/>
              <w:lang w:eastAsia="sv-SE"/>
            </w:rPr>
          </w:pPr>
          <w:hyperlink w:anchor="_Toc53410023" w:history="1">
            <w:r w:rsidR="006D31F8" w:rsidRPr="009549CC">
              <w:rPr>
                <w:rStyle w:val="Hyperlnk"/>
                <w:noProof/>
              </w:rPr>
              <w:t>Riktade externa insatser</w:t>
            </w:r>
            <w:r w:rsidR="006D31F8">
              <w:rPr>
                <w:noProof/>
                <w:webHidden/>
              </w:rPr>
              <w:tab/>
            </w:r>
            <w:r w:rsidR="006D31F8">
              <w:rPr>
                <w:noProof/>
                <w:webHidden/>
              </w:rPr>
              <w:fldChar w:fldCharType="begin"/>
            </w:r>
            <w:r w:rsidR="006D31F8">
              <w:rPr>
                <w:noProof/>
                <w:webHidden/>
              </w:rPr>
              <w:instrText xml:space="preserve"> PAGEREF _Toc53410023 \h </w:instrText>
            </w:r>
            <w:r w:rsidR="006D31F8">
              <w:rPr>
                <w:noProof/>
                <w:webHidden/>
              </w:rPr>
            </w:r>
            <w:r w:rsidR="006D31F8">
              <w:rPr>
                <w:noProof/>
                <w:webHidden/>
              </w:rPr>
              <w:fldChar w:fldCharType="separate"/>
            </w:r>
            <w:r w:rsidR="006D31F8">
              <w:rPr>
                <w:noProof/>
                <w:webHidden/>
              </w:rPr>
              <w:t>17</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24" w:history="1">
            <w:r w:rsidR="006D31F8" w:rsidRPr="009549CC">
              <w:rPr>
                <w:rStyle w:val="Hyperlnk"/>
                <w:noProof/>
              </w:rPr>
              <w:t>Övrigt</w:t>
            </w:r>
            <w:r w:rsidR="006D31F8">
              <w:rPr>
                <w:noProof/>
                <w:webHidden/>
              </w:rPr>
              <w:tab/>
            </w:r>
            <w:r w:rsidR="006D31F8">
              <w:rPr>
                <w:noProof/>
                <w:webHidden/>
              </w:rPr>
              <w:fldChar w:fldCharType="begin"/>
            </w:r>
            <w:r w:rsidR="006D31F8">
              <w:rPr>
                <w:noProof/>
                <w:webHidden/>
              </w:rPr>
              <w:instrText xml:space="preserve"> PAGEREF _Toc53410024 \h </w:instrText>
            </w:r>
            <w:r w:rsidR="006D31F8">
              <w:rPr>
                <w:noProof/>
                <w:webHidden/>
              </w:rPr>
            </w:r>
            <w:r w:rsidR="006D31F8">
              <w:rPr>
                <w:noProof/>
                <w:webHidden/>
              </w:rPr>
              <w:fldChar w:fldCharType="separate"/>
            </w:r>
            <w:r w:rsidR="006D31F8">
              <w:rPr>
                <w:noProof/>
                <w:webHidden/>
              </w:rPr>
              <w:t>17</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25" w:history="1">
            <w:r w:rsidR="006D31F8" w:rsidRPr="009549CC">
              <w:rPr>
                <w:rStyle w:val="Hyperlnk"/>
                <w:noProof/>
              </w:rPr>
              <w:t>Konsekvensanalys och överväganden sett till målsättningar</w:t>
            </w:r>
            <w:r w:rsidR="006D31F8">
              <w:rPr>
                <w:noProof/>
                <w:webHidden/>
              </w:rPr>
              <w:tab/>
            </w:r>
            <w:r w:rsidR="006D31F8">
              <w:rPr>
                <w:noProof/>
                <w:webHidden/>
              </w:rPr>
              <w:fldChar w:fldCharType="begin"/>
            </w:r>
            <w:r w:rsidR="006D31F8">
              <w:rPr>
                <w:noProof/>
                <w:webHidden/>
              </w:rPr>
              <w:instrText xml:space="preserve"> PAGEREF _Toc53410025 \h </w:instrText>
            </w:r>
            <w:r w:rsidR="006D31F8">
              <w:rPr>
                <w:noProof/>
                <w:webHidden/>
              </w:rPr>
            </w:r>
            <w:r w:rsidR="006D31F8">
              <w:rPr>
                <w:noProof/>
                <w:webHidden/>
              </w:rPr>
              <w:fldChar w:fldCharType="separate"/>
            </w:r>
            <w:r w:rsidR="006D31F8">
              <w:rPr>
                <w:noProof/>
                <w:webHidden/>
              </w:rPr>
              <w:t>17</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26" w:history="1">
            <w:r w:rsidR="006D31F8" w:rsidRPr="009549CC">
              <w:rPr>
                <w:rStyle w:val="Hyperlnk"/>
                <w:noProof/>
              </w:rPr>
              <w:t>Beslutade åtgärder</w:t>
            </w:r>
            <w:r w:rsidR="006D31F8">
              <w:rPr>
                <w:noProof/>
                <w:webHidden/>
              </w:rPr>
              <w:tab/>
            </w:r>
            <w:r w:rsidR="006D31F8">
              <w:rPr>
                <w:noProof/>
                <w:webHidden/>
              </w:rPr>
              <w:fldChar w:fldCharType="begin"/>
            </w:r>
            <w:r w:rsidR="006D31F8">
              <w:rPr>
                <w:noProof/>
                <w:webHidden/>
              </w:rPr>
              <w:instrText xml:space="preserve"> PAGEREF _Toc53410026 \h </w:instrText>
            </w:r>
            <w:r w:rsidR="006D31F8">
              <w:rPr>
                <w:noProof/>
                <w:webHidden/>
              </w:rPr>
            </w:r>
            <w:r w:rsidR="006D31F8">
              <w:rPr>
                <w:noProof/>
                <w:webHidden/>
              </w:rPr>
              <w:fldChar w:fldCharType="separate"/>
            </w:r>
            <w:r w:rsidR="006D31F8">
              <w:rPr>
                <w:noProof/>
                <w:webHidden/>
              </w:rPr>
              <w:t>19</w:t>
            </w:r>
            <w:r w:rsidR="006D31F8">
              <w:rPr>
                <w:noProof/>
                <w:webHidden/>
              </w:rPr>
              <w:fldChar w:fldCharType="end"/>
            </w:r>
          </w:hyperlink>
        </w:p>
        <w:p w:rsidR="006D31F8" w:rsidRDefault="009F19B8">
          <w:pPr>
            <w:pStyle w:val="Innehll1"/>
            <w:tabs>
              <w:tab w:val="right" w:leader="dot" w:pos="9062"/>
            </w:tabs>
            <w:rPr>
              <w:rFonts w:eastAsiaTheme="minorEastAsia"/>
              <w:noProof/>
              <w:szCs w:val="22"/>
              <w:lang w:eastAsia="sv-SE"/>
            </w:rPr>
          </w:pPr>
          <w:hyperlink w:anchor="_Toc53410027" w:history="1">
            <w:r w:rsidR="006D31F8" w:rsidRPr="009549CC">
              <w:rPr>
                <w:rStyle w:val="Hyperlnk"/>
                <w:noProof/>
              </w:rPr>
              <w:t>Bilaga 1. Förslag till åtgärder samt pågående åtgärder</w:t>
            </w:r>
            <w:r w:rsidR="006D31F8">
              <w:rPr>
                <w:noProof/>
                <w:webHidden/>
              </w:rPr>
              <w:tab/>
            </w:r>
            <w:r w:rsidR="006D31F8">
              <w:rPr>
                <w:noProof/>
                <w:webHidden/>
              </w:rPr>
              <w:fldChar w:fldCharType="begin"/>
            </w:r>
            <w:r w:rsidR="006D31F8">
              <w:rPr>
                <w:noProof/>
                <w:webHidden/>
              </w:rPr>
              <w:instrText xml:space="preserve"> PAGEREF _Toc53410027 \h </w:instrText>
            </w:r>
            <w:r w:rsidR="006D31F8">
              <w:rPr>
                <w:noProof/>
                <w:webHidden/>
              </w:rPr>
            </w:r>
            <w:r w:rsidR="006D31F8">
              <w:rPr>
                <w:noProof/>
                <w:webHidden/>
              </w:rPr>
              <w:fldChar w:fldCharType="separate"/>
            </w:r>
            <w:r w:rsidR="006D31F8">
              <w:rPr>
                <w:noProof/>
                <w:webHidden/>
              </w:rPr>
              <w:t>20</w:t>
            </w:r>
            <w:r w:rsidR="006D31F8">
              <w:rPr>
                <w:noProof/>
                <w:webHidden/>
              </w:rPr>
              <w:fldChar w:fldCharType="end"/>
            </w:r>
          </w:hyperlink>
        </w:p>
        <w:p w:rsidR="006C3C85" w:rsidRDefault="006C3C85">
          <w:r>
            <w:rPr>
              <w:b/>
              <w:bCs/>
            </w:rPr>
            <w:fldChar w:fldCharType="end"/>
          </w:r>
        </w:p>
      </w:sdtContent>
    </w:sdt>
    <w:p w:rsidR="006C3C85" w:rsidRDefault="006C3C85">
      <w:pPr>
        <w:rPr>
          <w:rFonts w:asciiTheme="majorHAnsi" w:eastAsiaTheme="majorEastAsia" w:hAnsiTheme="majorHAnsi" w:cstheme="majorBidi"/>
          <w:b/>
          <w:bCs/>
          <w:sz w:val="28"/>
          <w:szCs w:val="28"/>
        </w:rPr>
      </w:pPr>
      <w:r>
        <w:br w:type="page"/>
      </w:r>
    </w:p>
    <w:p w:rsidR="005846DA" w:rsidRPr="00DB7902" w:rsidRDefault="005846DA" w:rsidP="00730CC3">
      <w:pPr>
        <w:pStyle w:val="Rubrik1"/>
      </w:pPr>
      <w:bookmarkStart w:id="0" w:name="_Toc2763695"/>
      <w:bookmarkStart w:id="1" w:name="_Toc53409994"/>
      <w:r w:rsidRPr="00DB7902">
        <w:lastRenderedPageBreak/>
        <w:t>World Class University</w:t>
      </w:r>
      <w:bookmarkEnd w:id="0"/>
      <w:bookmarkEnd w:id="1"/>
    </w:p>
    <w:p w:rsidR="00620D71" w:rsidRDefault="005846DA" w:rsidP="005846DA">
      <w:r w:rsidRPr="00DB7902">
        <w:t xml:space="preserve">Rankning av världens mest framstående universitet bygger på en teoribildning kring vad som egentligen kännetecknar ett världsledande universitet. De som främst utforskat detta ämne är Jamil Salmi (världsbanken) och Philip Altbach (Boston college). </w:t>
      </w:r>
    </w:p>
    <w:p w:rsidR="00620D71" w:rsidRDefault="00620D71" w:rsidP="005846DA"/>
    <w:p w:rsidR="005846DA" w:rsidRPr="00DB7902" w:rsidRDefault="005846DA" w:rsidP="005846DA">
      <w:r w:rsidRPr="00DB7902">
        <w:t>Med ett World Class University avses att universitetet är excellent inom forskning, utbildning, samverkan, utveckling, innovation och kunskapsöverföring samt bedriver olika former av aktiviteter som bidrar till kulturell, vetenskaplig, ekonomisk och samhällelig utveckling</w:t>
      </w:r>
      <w:r w:rsidR="00620D71">
        <w:t xml:space="preserve">. </w:t>
      </w:r>
      <w:r w:rsidRPr="00DB7902">
        <w:t>Ett World Class University ses som motor i den nya kunskapsekonomin och som</w:t>
      </w:r>
      <w:r w:rsidR="0093681B">
        <w:t xml:space="preserve"> en nödvändig komponent</w:t>
      </w:r>
      <w:r w:rsidRPr="00DB7902">
        <w:t xml:space="preserve"> för att säkerställa innovation och</w:t>
      </w:r>
      <w:r w:rsidR="00196CD0">
        <w:t xml:space="preserve"> ekonomisk utveckling, tillväxt, konkurrensförmåga </w:t>
      </w:r>
      <w:r w:rsidRPr="00DB7902">
        <w:t xml:space="preserve">och ett hållbart samhälle. Konceptet innefattar även att universitetet har högkvalitativa forskare och lärare, världsledande forskning och utbildning, en hög andel internationalisering och en hög andel studenter på avancerad- och forskarnivå samt högklassiga bibliotek, laboratorier och andra faciliteter. </w:t>
      </w:r>
    </w:p>
    <w:p w:rsidR="005846DA" w:rsidRDefault="005846DA" w:rsidP="005846DA"/>
    <w:p w:rsidR="00196CD0" w:rsidRPr="00DB7902" w:rsidRDefault="00196CD0" w:rsidP="00196CD0">
      <w:r w:rsidRPr="00DB7902">
        <w:t xml:space="preserve">Elituniversitetet är en viktig del av det som benämns Global </w:t>
      </w:r>
      <w:r w:rsidR="008315EE">
        <w:t>w</w:t>
      </w:r>
      <w:r w:rsidRPr="00DB7902">
        <w:t>ar for talent, där länder och universitet konkurrerar om de främsta begåvningarna samt att respektive land söker säkerställa att de främsta talangerna stannar kvar i landet (brain drain och brain gain).</w:t>
      </w:r>
    </w:p>
    <w:p w:rsidR="00196CD0" w:rsidRDefault="00196CD0" w:rsidP="00196CD0"/>
    <w:p w:rsidR="00196CD0" w:rsidRPr="00DB7902" w:rsidRDefault="00196CD0" w:rsidP="00196CD0">
      <w:r w:rsidRPr="00DB7902">
        <w:t xml:space="preserve">Elituniversitetet är forskningstungt, högproduktivt och bedriver högkvalitativ forskning med fokus på spets. Det kräver </w:t>
      </w:r>
      <w:r w:rsidR="00516B41">
        <w:t>omfattande</w:t>
      </w:r>
      <w:r w:rsidRPr="00DB7902">
        <w:t xml:space="preserve"> resurser för att skapa en kreativ lärandemiljö och avancerad forskning samt hit söker sig de bästa studenterna och forskarna i världen.</w:t>
      </w:r>
    </w:p>
    <w:p w:rsidR="00196CD0" w:rsidRPr="00DB7902" w:rsidRDefault="00196CD0" w:rsidP="005846DA"/>
    <w:p w:rsidR="00091B19" w:rsidRDefault="00AA00A2" w:rsidP="005846DA">
      <w:r>
        <w:t>De rank</w:t>
      </w:r>
      <w:r w:rsidR="001330D5">
        <w:t>n</w:t>
      </w:r>
      <w:r>
        <w:t>ingar som har högst inte</w:t>
      </w:r>
      <w:r w:rsidR="00490CC6">
        <w:t xml:space="preserve">rnationell synlighet är THE, QS, </w:t>
      </w:r>
      <w:r w:rsidRPr="00DB7902">
        <w:t>Shanghai Jiao Tong (benämns hädanefter ARWU, Academic Ranking of World Class Universit</w:t>
      </w:r>
      <w:r w:rsidR="00E42C80">
        <w:t>ie</w:t>
      </w:r>
      <w:r w:rsidRPr="00DB7902">
        <w:t>s)</w:t>
      </w:r>
      <w:r>
        <w:t xml:space="preserve"> och US News &amp; World Report. </w:t>
      </w:r>
      <w:r w:rsidRPr="00DB7902">
        <w:t xml:space="preserve">US News &amp; World Report </w:t>
      </w:r>
      <w:r>
        <w:t xml:space="preserve">är framför allt gångbar i USA. </w:t>
      </w:r>
      <w:r w:rsidR="005846DA" w:rsidRPr="00DB7902">
        <w:t xml:space="preserve">De </w:t>
      </w:r>
      <w:r w:rsidR="008006DC">
        <w:t>500</w:t>
      </w:r>
      <w:r w:rsidR="005846DA" w:rsidRPr="00DB7902">
        <w:t xml:space="preserve"> främsta universiteten på</w:t>
      </w:r>
      <w:r>
        <w:t xml:space="preserve"> dessa rankningar räknas som World Class Universities</w:t>
      </w:r>
      <w:r w:rsidR="005846DA" w:rsidRPr="00DB7902">
        <w:t xml:space="preserve">. </w:t>
      </w:r>
      <w:r>
        <w:t xml:space="preserve">I princip är det </w:t>
      </w:r>
      <w:r w:rsidR="003A24F5">
        <w:t xml:space="preserve">samma universitet som är med i de </w:t>
      </w:r>
      <w:r w:rsidR="00FD74F2">
        <w:t>ovan nämnda</w:t>
      </w:r>
      <w:r w:rsidR="003A24F5">
        <w:t xml:space="preserve"> rankningarna, dock varierar </w:t>
      </w:r>
      <w:r w:rsidR="001E1739">
        <w:t>ligapositionen</w:t>
      </w:r>
      <w:r w:rsidR="00A9325B">
        <w:t xml:space="preserve"> sinsemellan</w:t>
      </w:r>
      <w:r w:rsidR="003A24F5">
        <w:t>, då leverantörerna använder olika</w:t>
      </w:r>
      <w:r w:rsidR="001C524A">
        <w:t xml:space="preserve"> mätmetoder,</w:t>
      </w:r>
      <w:r w:rsidR="003A24F5">
        <w:t xml:space="preserve"> </w:t>
      </w:r>
      <w:r w:rsidR="00FD74F2">
        <w:t>indikatorer</w:t>
      </w:r>
      <w:r w:rsidR="008315EE">
        <w:t xml:space="preserve"> och viktning. Denna handlingsplan fokuserar vid att prestera väl framför allt i THE:s och QS huvudrankningar men också i ARWU och US News &amp; World Report. </w:t>
      </w:r>
    </w:p>
    <w:p w:rsidR="00091B19" w:rsidRDefault="00091B19" w:rsidP="005846DA"/>
    <w:p w:rsidR="00FD74F2" w:rsidRDefault="00E80535" w:rsidP="005846DA">
      <w:r>
        <w:t>Handlingsplanen behandlar inte rankningar med annan inriktning såso</w:t>
      </w:r>
      <w:r w:rsidR="001D76D0">
        <w:t>m THE University Impact Ranking</w:t>
      </w:r>
      <w:r>
        <w:t xml:space="preserve">, </w:t>
      </w:r>
      <w:r w:rsidR="00787798">
        <w:t>en rankning som</w:t>
      </w:r>
      <w:r>
        <w:t xml:space="preserve"> </w:t>
      </w:r>
      <w:r w:rsidR="00E34CB6">
        <w:t xml:space="preserve">är riktad mot </w:t>
      </w:r>
      <w:r>
        <w:t>FN:s hållbarhetsmål.</w:t>
      </w:r>
      <w:r w:rsidR="001D76D0">
        <w:t xml:space="preserve"> THE Impact Ranking</w:t>
      </w:r>
      <w:r>
        <w:t xml:space="preserve"> </w:t>
      </w:r>
      <w:r w:rsidR="001D76D0">
        <w:t xml:space="preserve">består av andels- och per capita mått samt, framför allt, tillskriver policydokument stor betydelse. </w:t>
      </w:r>
      <w:r w:rsidR="005946E2">
        <w:t>Denna typ av rankning</w:t>
      </w:r>
      <w:r w:rsidR="00091B19">
        <w:t>ar</w:t>
      </w:r>
      <w:r w:rsidR="005946E2">
        <w:t xml:space="preserve"> har </w:t>
      </w:r>
      <w:r w:rsidR="00091B19">
        <w:t>fortfarande</w:t>
      </w:r>
      <w:r w:rsidR="009C3C66">
        <w:t xml:space="preserve"> ett</w:t>
      </w:r>
      <w:r w:rsidR="005946E2">
        <w:t xml:space="preserve"> lägre genomslag än de som pekar ut </w:t>
      </w:r>
      <w:r w:rsidR="00091B19">
        <w:t>vilka som är bäst inom</w:t>
      </w:r>
      <w:r w:rsidR="005946E2">
        <w:t xml:space="preserve"> forskning och utbildning. </w:t>
      </w:r>
    </w:p>
    <w:p w:rsidR="00FD74F2" w:rsidRDefault="00FD74F2" w:rsidP="005846DA"/>
    <w:p w:rsidR="005846DA" w:rsidRPr="00DB7902" w:rsidRDefault="003A24F5" w:rsidP="005846DA">
      <w:r>
        <w:t xml:space="preserve">En anledning till att rankningar har ett stort genomslag är att de bekräftar den </w:t>
      </w:r>
      <w:r w:rsidR="00FD74F2">
        <w:t xml:space="preserve">redan </w:t>
      </w:r>
      <w:r>
        <w:t xml:space="preserve">gängse bilden </w:t>
      </w:r>
      <w:r w:rsidR="00FD74F2">
        <w:t>av</w:t>
      </w:r>
      <w:r>
        <w:t xml:space="preserve"> vilka universitet som är bäst i världen. </w:t>
      </w:r>
      <w:r w:rsidR="00FD74F2">
        <w:t>En rankning som inte har MIT, Caltech, ETH, Stanford etc</w:t>
      </w:r>
      <w:r w:rsidR="008315EE">
        <w:t>.</w:t>
      </w:r>
      <w:r w:rsidR="00FD74F2">
        <w:t xml:space="preserve"> i topp tas</w:t>
      </w:r>
      <w:r w:rsidR="00560711">
        <w:t xml:space="preserve"> vanligen</w:t>
      </w:r>
      <w:r w:rsidR="00FD74F2">
        <w:t xml:space="preserve"> inte på allvar. </w:t>
      </w:r>
      <w:r>
        <w:t>Sedan har rankningarna i si</w:t>
      </w:r>
      <w:r w:rsidR="00FD74F2">
        <w:t>n</w:t>
      </w:r>
      <w:r>
        <w:t xml:space="preserve"> tur bidragit till att befästa denna bild. </w:t>
      </w:r>
    </w:p>
    <w:p w:rsidR="005846DA" w:rsidRPr="00DB7902" w:rsidRDefault="005846DA" w:rsidP="005846DA"/>
    <w:p w:rsidR="00AA00A2" w:rsidRDefault="005846DA" w:rsidP="00196CD0">
      <w:r w:rsidRPr="00DB7902">
        <w:t>Rank</w:t>
      </w:r>
      <w:r w:rsidR="003E3A54">
        <w:t>n</w:t>
      </w:r>
      <w:r w:rsidRPr="00DB7902">
        <w:t xml:space="preserve">ing som fenomen </w:t>
      </w:r>
      <w:r w:rsidR="00620D71">
        <w:t xml:space="preserve">kan ses som </w:t>
      </w:r>
      <w:r w:rsidRPr="00DB7902">
        <w:t>ett typiskt ut</w:t>
      </w:r>
      <w:r w:rsidR="001E1739">
        <w:t>t</w:t>
      </w:r>
      <w:r w:rsidRPr="00DB7902">
        <w:t>ryck för New Public Management, det vill säga ökad fokus på konkurrens, transparens, uppföljningar, ”valuta för pengarna”, prestationsförmåga, prestationsindikatorer, prestationsmål, ökad</w:t>
      </w:r>
      <w:r w:rsidR="001D76D0">
        <w:t xml:space="preserve"> produktivitet och effektivitet, </w:t>
      </w:r>
      <w:r w:rsidRPr="00DB7902">
        <w:t xml:space="preserve">redovisningsskyldighet </w:t>
      </w:r>
      <w:r w:rsidR="001D76D0">
        <w:t xml:space="preserve">samt uppföljning </w:t>
      </w:r>
      <w:r w:rsidRPr="00DB7902">
        <w:t>(mycket av detta mäts och redovisas i rank</w:t>
      </w:r>
      <w:r w:rsidR="009165C8">
        <w:t>n</w:t>
      </w:r>
      <w:r w:rsidR="00AA00A2">
        <w:t xml:space="preserve">ingar). </w:t>
      </w:r>
    </w:p>
    <w:p w:rsidR="00E34CB6" w:rsidRDefault="00E34CB6" w:rsidP="00196CD0"/>
    <w:p w:rsidR="00516B41" w:rsidRDefault="00516B41" w:rsidP="00196CD0">
      <w:r>
        <w:t xml:space="preserve">En annan </w:t>
      </w:r>
      <w:r w:rsidR="001D76D0">
        <w:t>viktig komponent</w:t>
      </w:r>
      <w:r>
        <w:t xml:space="preserve"> är att studenterna</w:t>
      </w:r>
      <w:r w:rsidR="000405CB">
        <w:t xml:space="preserve"> allt mer</w:t>
      </w:r>
      <w:r>
        <w:t xml:space="preserve"> b</w:t>
      </w:r>
      <w:r w:rsidR="00FB28B6">
        <w:t>livit konsumenter av utbildning. V</w:t>
      </w:r>
      <w:r>
        <w:t>id val av lärosäte föredrar de därför att ta del av någon form av betygsättning</w:t>
      </w:r>
      <w:r w:rsidR="00A37378">
        <w:t>/ konsumentvärdering</w:t>
      </w:r>
      <w:r>
        <w:t xml:space="preserve"> för att </w:t>
      </w:r>
      <w:r w:rsidR="000405CB">
        <w:t>gör</w:t>
      </w:r>
      <w:r w:rsidR="00956687">
        <w:t>a</w:t>
      </w:r>
      <w:r w:rsidR="000405CB">
        <w:t xml:space="preserve"> en bedömning</w:t>
      </w:r>
      <w:r>
        <w:t xml:space="preserve"> </w:t>
      </w:r>
      <w:r w:rsidR="001D76D0">
        <w:t>av</w:t>
      </w:r>
      <w:r>
        <w:t xml:space="preserve"> </w:t>
      </w:r>
      <w:r w:rsidR="00787798">
        <w:t xml:space="preserve">huruvida </w:t>
      </w:r>
      <w:r>
        <w:t>utbildningen</w:t>
      </w:r>
      <w:r w:rsidR="00995B53">
        <w:t xml:space="preserve"> de är intresserad av</w:t>
      </w:r>
      <w:r>
        <w:t xml:space="preserve"> på sikt kommer att ge önskvärd avkastning. </w:t>
      </w:r>
      <w:r w:rsidR="00FB28B6">
        <w:t xml:space="preserve">Motsvarande fenomen kan konstateras för </w:t>
      </w:r>
      <w:r w:rsidR="00FB28B6">
        <w:lastRenderedPageBreak/>
        <w:t>exempelvis betygsättningar</w:t>
      </w:r>
      <w:r w:rsidR="00E75EEE">
        <w:t>/ rankningar</w:t>
      </w:r>
      <w:r w:rsidR="00FB28B6">
        <w:t xml:space="preserve"> </w:t>
      </w:r>
      <w:r w:rsidR="00956687">
        <w:t xml:space="preserve">av </w:t>
      </w:r>
      <w:r w:rsidR="00FB28B6">
        <w:t xml:space="preserve">restauranger och hotell i form av Trivago och Trip Advisor. </w:t>
      </w:r>
    </w:p>
    <w:p w:rsidR="00AA00A2" w:rsidRDefault="00AA00A2" w:rsidP="00196CD0"/>
    <w:p w:rsidR="00196CD0" w:rsidRPr="00DB7902" w:rsidRDefault="00AA00A2" w:rsidP="00196CD0">
      <w:r>
        <w:t>G</w:t>
      </w:r>
      <w:r w:rsidR="00196CD0">
        <w:t xml:space="preserve">enerellt kan man också konstatera att </w:t>
      </w:r>
      <w:r w:rsidR="00FB28B6">
        <w:t>de ledande universitetsrankningarna</w:t>
      </w:r>
      <w:r w:rsidR="00196CD0">
        <w:t xml:space="preserve"> kännetecknas av ett </w:t>
      </w:r>
      <w:r w:rsidR="009C3C66">
        <w:t>påtagligt</w:t>
      </w:r>
      <w:r w:rsidR="00196CD0">
        <w:t xml:space="preserve"> elitperspektiv.</w:t>
      </w:r>
      <w:r>
        <w:t xml:space="preserve"> Det är spetsen som räknas.</w:t>
      </w:r>
    </w:p>
    <w:p w:rsidR="004A2050" w:rsidRPr="005846DA" w:rsidRDefault="004A2050" w:rsidP="005846DA"/>
    <w:p w:rsidR="000518F2" w:rsidRDefault="00A9481A" w:rsidP="00FD770B">
      <w:pPr>
        <w:pStyle w:val="Rubrik1"/>
      </w:pPr>
      <w:bookmarkStart w:id="2" w:name="_Toc53409995"/>
      <w:r>
        <w:t>Rankningars g</w:t>
      </w:r>
      <w:r w:rsidR="00E40C52">
        <w:t>enomslag</w:t>
      </w:r>
      <w:bookmarkEnd w:id="2"/>
    </w:p>
    <w:p w:rsidR="00A9481A" w:rsidRDefault="00E40C52" w:rsidP="00C564F2">
      <w:r>
        <w:t xml:space="preserve">Sedan </w:t>
      </w:r>
      <w:r w:rsidR="0093681B">
        <w:t>det första resultatet för ARWU</w:t>
      </w:r>
      <w:r w:rsidR="00B01730">
        <w:t xml:space="preserve"> </w:t>
      </w:r>
      <w:bookmarkStart w:id="3" w:name="_GoBack"/>
      <w:bookmarkEnd w:id="3"/>
      <w:r w:rsidR="0093681B">
        <w:t>presenterades</w:t>
      </w:r>
      <w:r>
        <w:t xml:space="preserve"> 200</w:t>
      </w:r>
      <w:r w:rsidR="00AA00A2">
        <w:t>3</w:t>
      </w:r>
      <w:r>
        <w:t xml:space="preserve"> har denna typ av mätningar</w:t>
      </w:r>
      <w:r w:rsidR="00125CD6" w:rsidRPr="004B7972">
        <w:t xml:space="preserve"> </w:t>
      </w:r>
      <w:r w:rsidR="00A9481A">
        <w:t xml:space="preserve">haft </w:t>
      </w:r>
      <w:r w:rsidR="00125CD6" w:rsidRPr="004B7972">
        <w:t xml:space="preserve">stor inverkan bland annat på rekrytering av internationella studenter och forskare, alumners anställningsbarhet, möjlighet till samarbete med andra världsledande universitet och multinationella företag samt att hävda sig i den allt mer </w:t>
      </w:r>
      <w:r w:rsidR="00E34CB6">
        <w:t>tilltagande</w:t>
      </w:r>
      <w:r w:rsidR="00125CD6" w:rsidRPr="004B7972">
        <w:t xml:space="preserve"> internationella konkurrensen om externa forskningsmedel liksom i satsningar på excellens. </w:t>
      </w:r>
    </w:p>
    <w:p w:rsidR="00015B7A" w:rsidRDefault="00015B7A" w:rsidP="00C564F2"/>
    <w:p w:rsidR="00015B7A" w:rsidRDefault="00015B7A" w:rsidP="00015B7A">
      <w:r>
        <w:t>Utbudet av rankningar är brett och många röster har genom åren höjts för att påtala rankningarnas bristande metodologi och oförmåga att mäta kvalitet på ett relevant och rättvisande sätt. Trots detta tenderar de att öka i betydelse och omfång. Oavsett vad man tycker om rankninglistorna har de kommit för att stanna. De används framför allt:</w:t>
      </w:r>
    </w:p>
    <w:p w:rsidR="00015B7A" w:rsidRDefault="00015B7A" w:rsidP="00015B7A"/>
    <w:p w:rsidR="00015B7A" w:rsidRPr="005C2ECD" w:rsidRDefault="00015B7A" w:rsidP="00015B7A">
      <w:pPr>
        <w:pStyle w:val="Liststycke"/>
        <w:numPr>
          <w:ilvl w:val="0"/>
          <w:numId w:val="25"/>
        </w:numPr>
        <w:rPr>
          <w:rFonts w:asciiTheme="minorHAnsi" w:hAnsiTheme="minorHAnsi"/>
        </w:rPr>
      </w:pPr>
      <w:r w:rsidRPr="005C2ECD">
        <w:rPr>
          <w:rFonts w:asciiTheme="minorHAnsi" w:hAnsiTheme="minorHAnsi"/>
        </w:rPr>
        <w:t xml:space="preserve">Av studenter vid val av lärosäte, framför allt inför studier utomlands då bakgrundsinformationen inte är lika omfattande som vid studier i hemlandet. Rankningar har särskilt stor betydelse för rekrytering av studenter speciellt i Ostasien och i länder som tar ut studieavgifter. En viktig faktor är att den internationella studentmarknaden sedan 1990-talet expanderat avsevärt (och förväntas expandera ytterligare) samt att utbildning och forskning </w:t>
      </w:r>
      <w:r>
        <w:rPr>
          <w:rFonts w:asciiTheme="minorHAnsi" w:hAnsiTheme="minorHAnsi"/>
        </w:rPr>
        <w:t>förutsätts</w:t>
      </w:r>
      <w:r w:rsidRPr="005C2ECD">
        <w:rPr>
          <w:rFonts w:asciiTheme="minorHAnsi" w:hAnsiTheme="minorHAnsi"/>
        </w:rPr>
        <w:t xml:space="preserve"> vara bättre vid rankade universitet än vad de är vid orankade.</w:t>
      </w:r>
    </w:p>
    <w:p w:rsidR="00015B7A" w:rsidRPr="005C2ECD" w:rsidRDefault="00015B7A" w:rsidP="00015B7A">
      <w:pPr>
        <w:pStyle w:val="Liststycke"/>
        <w:numPr>
          <w:ilvl w:val="0"/>
          <w:numId w:val="25"/>
        </w:numPr>
        <w:rPr>
          <w:rFonts w:asciiTheme="minorHAnsi" w:hAnsiTheme="minorHAnsi"/>
        </w:rPr>
      </w:pPr>
      <w:r w:rsidRPr="005C2ECD">
        <w:rPr>
          <w:rFonts w:asciiTheme="minorHAnsi" w:hAnsiTheme="minorHAnsi"/>
        </w:rPr>
        <w:t xml:space="preserve">Av arbetsgivare och näringsliv. Alumner från rankade universitet tenderar att få mer kvalificerade och välbetalda arbeten än de som förlagt sin utbildning </w:t>
      </w:r>
      <w:r>
        <w:rPr>
          <w:rFonts w:asciiTheme="minorHAnsi" w:hAnsiTheme="minorHAnsi"/>
        </w:rPr>
        <w:t>till</w:t>
      </w:r>
      <w:r w:rsidRPr="005C2ECD">
        <w:rPr>
          <w:rFonts w:asciiTheme="minorHAnsi" w:hAnsiTheme="minorHAnsi"/>
        </w:rPr>
        <w:t xml:space="preserve"> orankade universitet. Ledande multinationella företag rekryterar helst personal med examina från rankade universitet och tillgriper rankningar vid val av samarbetspartners.</w:t>
      </w:r>
    </w:p>
    <w:p w:rsidR="00015B7A" w:rsidRPr="005C2ECD" w:rsidRDefault="00015B7A" w:rsidP="00015B7A">
      <w:pPr>
        <w:pStyle w:val="Liststycke"/>
        <w:numPr>
          <w:ilvl w:val="0"/>
          <w:numId w:val="25"/>
        </w:numPr>
        <w:rPr>
          <w:rFonts w:asciiTheme="minorHAnsi" w:hAnsiTheme="minorHAnsi"/>
        </w:rPr>
      </w:pPr>
      <w:r w:rsidRPr="005C2ECD">
        <w:rPr>
          <w:rFonts w:asciiTheme="minorHAnsi" w:hAnsiTheme="minorHAnsi"/>
        </w:rPr>
        <w:t>Av lärare och forskare. Lärosätets rankningposition har relevans vid rekrytering av internationella lärare och forskare.</w:t>
      </w:r>
    </w:p>
    <w:p w:rsidR="00015B7A" w:rsidRPr="005C2ECD" w:rsidRDefault="00015B7A" w:rsidP="00015B7A">
      <w:pPr>
        <w:pStyle w:val="Liststycke"/>
        <w:numPr>
          <w:ilvl w:val="0"/>
          <w:numId w:val="25"/>
        </w:numPr>
        <w:rPr>
          <w:rFonts w:asciiTheme="minorHAnsi" w:hAnsiTheme="minorHAnsi"/>
        </w:rPr>
      </w:pPr>
      <w:r w:rsidRPr="005C2ECD">
        <w:rPr>
          <w:rFonts w:asciiTheme="minorHAnsi" w:hAnsiTheme="minorHAnsi"/>
        </w:rPr>
        <w:t xml:space="preserve">Av universitet och högskolor. Rankningar tillgrips bland annat vid beslutsfattande, prioritering av forskningsinriktning, olika policys och utvecklingsplaner, vid val </w:t>
      </w:r>
      <w:r>
        <w:rPr>
          <w:rFonts w:asciiTheme="minorHAnsi" w:hAnsiTheme="minorHAnsi"/>
        </w:rPr>
        <w:t xml:space="preserve">av </w:t>
      </w:r>
      <w:r w:rsidRPr="005C2ECD">
        <w:rPr>
          <w:rFonts w:asciiTheme="minorHAnsi" w:hAnsiTheme="minorHAnsi"/>
        </w:rPr>
        <w:t xml:space="preserve">samarbetspartner, i varumärkes- och marknadsföringssyften, för att stärka sammanhållningen och lärosätets identitet, uppföljning och som underlag för jämförande undersökningar. </w:t>
      </w:r>
    </w:p>
    <w:p w:rsidR="00015B7A" w:rsidRPr="005C2ECD" w:rsidRDefault="00015B7A" w:rsidP="00015B7A">
      <w:pPr>
        <w:pStyle w:val="Liststycke"/>
        <w:numPr>
          <w:ilvl w:val="0"/>
          <w:numId w:val="25"/>
        </w:numPr>
        <w:rPr>
          <w:rFonts w:asciiTheme="minorHAnsi" w:hAnsiTheme="minorHAnsi"/>
        </w:rPr>
      </w:pPr>
      <w:r w:rsidRPr="005C2ECD">
        <w:rPr>
          <w:rFonts w:asciiTheme="minorHAnsi" w:hAnsiTheme="minorHAnsi"/>
        </w:rPr>
        <w:t xml:space="preserve">Av allmänhet och media. Rankningar tillgodoser ett behov av att ge lättillgänglig och (kanske alltför) lättbegriplig information om ett universitets kvalitet och vad det presterar. Rankningar tillgrips även som tillhygge i den offentliga debatten. </w:t>
      </w:r>
    </w:p>
    <w:p w:rsidR="00015B7A" w:rsidRPr="005C2ECD" w:rsidRDefault="00015B7A" w:rsidP="00015B7A">
      <w:pPr>
        <w:pStyle w:val="Liststycke"/>
        <w:numPr>
          <w:ilvl w:val="0"/>
          <w:numId w:val="25"/>
        </w:numPr>
        <w:rPr>
          <w:rFonts w:asciiTheme="minorHAnsi" w:hAnsiTheme="minorHAnsi"/>
        </w:rPr>
      </w:pPr>
      <w:r w:rsidRPr="005C2ECD">
        <w:rPr>
          <w:rFonts w:asciiTheme="minorHAnsi" w:hAnsiTheme="minorHAnsi"/>
        </w:rPr>
        <w:t xml:space="preserve">Av beslutsfattare och politiker, bland annat för att jämföra de inhemska och internationella lärosätenas kvalitet med varandra, som grund för resurstilldelning, satsningar på excellens, underlag för olika policys samt </w:t>
      </w:r>
      <w:r>
        <w:rPr>
          <w:rFonts w:asciiTheme="minorHAnsi" w:hAnsiTheme="minorHAnsi"/>
        </w:rPr>
        <w:t xml:space="preserve">att </w:t>
      </w:r>
      <w:r w:rsidRPr="005C2ECD">
        <w:rPr>
          <w:rFonts w:asciiTheme="minorHAnsi" w:hAnsiTheme="minorHAnsi"/>
        </w:rPr>
        <w:t xml:space="preserve">göra jämförelser mellan olika länders utbildningssystem. Särskilt viktigt är att ta reda på hur framgångsrik och konkurrensmässig den egna nationens forskning och utbildning är i en internationell kontext. I detta avseende hänger rankningarnas ökande betydelse samman med nationell prestige, oro över den högre utbildningens och forskningens kvalitet, prestationsförmåga och (i synnerhet) globala konkurrensförmåga. </w:t>
      </w:r>
    </w:p>
    <w:p w:rsidR="00015B7A" w:rsidRPr="005C2ECD" w:rsidRDefault="00015B7A" w:rsidP="00015B7A">
      <w:pPr>
        <w:pStyle w:val="Liststycke"/>
        <w:numPr>
          <w:ilvl w:val="0"/>
          <w:numId w:val="25"/>
        </w:numPr>
        <w:rPr>
          <w:rFonts w:asciiTheme="minorHAnsi" w:hAnsiTheme="minorHAnsi"/>
        </w:rPr>
      </w:pPr>
      <w:r w:rsidRPr="005C2ECD">
        <w:rPr>
          <w:rFonts w:asciiTheme="minorHAnsi" w:hAnsiTheme="minorHAnsi"/>
        </w:rPr>
        <w:lastRenderedPageBreak/>
        <w:t xml:space="preserve">Rankningar har resulterat i excellensinitiativ, bland annat i Tyskland, och satsningar på elituniversitet, sammanslagningar av universitet med syfte att skapa slagkraftigare enheter som hävdar sig i rankningar, samt att utbildningen och forskningen alltmer hierarkiserats. Flera länder, exempelvis Indien, har slagit fast att deras högre lärosäten endast skall bedriva samarbeten med de 400 högst rankade universiteten i THE, ARWU eller QS. I flera länder, framför allt i Ostasien, beviljas stipendier enbart till studenter som antagits vid ett rankat universitet. </w:t>
      </w:r>
    </w:p>
    <w:p w:rsidR="00015B7A" w:rsidRPr="005C2ECD" w:rsidRDefault="00015B7A" w:rsidP="00015B7A">
      <w:pPr>
        <w:pStyle w:val="Liststycke"/>
        <w:numPr>
          <w:ilvl w:val="0"/>
          <w:numId w:val="25"/>
        </w:numPr>
        <w:rPr>
          <w:rFonts w:asciiTheme="minorHAnsi" w:hAnsiTheme="minorHAnsi"/>
        </w:rPr>
      </w:pPr>
      <w:r w:rsidRPr="005C2ECD">
        <w:rPr>
          <w:rFonts w:asciiTheme="minorHAnsi" w:hAnsiTheme="minorHAnsi"/>
        </w:rPr>
        <w:t xml:space="preserve">Personer med examina från högrankade universitet har lättare att få uppehållstillstånd i flera länder, bland annat i Nederländerna och i Ryssland. </w:t>
      </w:r>
    </w:p>
    <w:p w:rsidR="00015B7A" w:rsidRPr="00015B7A" w:rsidRDefault="00015B7A" w:rsidP="00C564F2">
      <w:pPr>
        <w:pStyle w:val="Liststycke"/>
        <w:numPr>
          <w:ilvl w:val="0"/>
          <w:numId w:val="25"/>
        </w:numPr>
        <w:rPr>
          <w:rFonts w:asciiTheme="minorHAnsi" w:hAnsiTheme="minorHAnsi"/>
        </w:rPr>
      </w:pPr>
      <w:r w:rsidRPr="005C2ECD">
        <w:rPr>
          <w:rFonts w:asciiTheme="minorHAnsi" w:hAnsiTheme="minorHAnsi"/>
        </w:rPr>
        <w:t>Internationellt har också rankningar stor betydelse vid ackreditering och kvalitetsutvärdering. Utvecklingen har haft till följd att de universitet som är högst rankade tilldelas allt mer resurser medan de som är orankade får nöja sig med allt mindre, en företeelse som benämns matteuseffekten. Rankade universitet har även lättare att erhålla konkurrensutsatta forskningsmedel än orankade.</w:t>
      </w:r>
    </w:p>
    <w:p w:rsidR="00C564F2" w:rsidRDefault="00C564F2" w:rsidP="00C564F2"/>
    <w:p w:rsidR="00AA00A2" w:rsidRDefault="00AA00A2" w:rsidP="00C564F2"/>
    <w:p w:rsidR="00E34CB6" w:rsidRDefault="00125CD6" w:rsidP="00C564F2">
      <w:r w:rsidRPr="004B7972">
        <w:t>Analys av rank</w:t>
      </w:r>
      <w:r w:rsidR="00F53829">
        <w:t>n</w:t>
      </w:r>
      <w:r w:rsidRPr="004B7972">
        <w:t>ingmetodik och -resultat har visat att universitet med hög omsättning och där mer än 7</w:t>
      </w:r>
      <w:r w:rsidR="001D6200">
        <w:t>0</w:t>
      </w:r>
      <w:r w:rsidRPr="004B7972">
        <w:t xml:space="preserve"> procent av den totala omsättningen går till forskning, en stor fakultet, en hög an</w:t>
      </w:r>
      <w:r>
        <w:t xml:space="preserve">del studenter på avancerad nivå, </w:t>
      </w:r>
      <w:r w:rsidRPr="004B7972">
        <w:t>en hög internationaliseringsgrad</w:t>
      </w:r>
      <w:r>
        <w:t xml:space="preserve"> samt gott rykte</w:t>
      </w:r>
      <w:r w:rsidRPr="004B7972">
        <w:t xml:space="preserve"> återfinns i toppen av samtlig</w:t>
      </w:r>
      <w:r w:rsidR="005846DA">
        <w:t>a av de tongivande rank</w:t>
      </w:r>
      <w:r w:rsidR="001330D5">
        <w:t>n</w:t>
      </w:r>
      <w:r w:rsidR="005846DA">
        <w:t>ingarna. Grovt förenklat kan man hävda att flera</w:t>
      </w:r>
      <w:r w:rsidR="00353815">
        <w:t xml:space="preserve"> av de högst rankade universiteten</w:t>
      </w:r>
      <w:r w:rsidR="005846DA">
        <w:t xml:space="preserve"> är forskningsinstitut som bedriver utbildning. </w:t>
      </w:r>
      <w:r w:rsidR="0093681B">
        <w:t xml:space="preserve">Typexempel på detta är Caltech, Stanford, MIT, Karolinska institutet etc. </w:t>
      </w:r>
      <w:r w:rsidRPr="004B7972">
        <w:t xml:space="preserve">Av särskild betydelse är också att bedriva spetsforskning i flera ämnen samt att ha ett stort antal högciterade forskare. </w:t>
      </w:r>
    </w:p>
    <w:p w:rsidR="00E34CB6" w:rsidRDefault="00E34CB6" w:rsidP="00C564F2"/>
    <w:p w:rsidR="00125CD6" w:rsidRDefault="000959B9" w:rsidP="00C564F2">
      <w:r>
        <w:t xml:space="preserve">Noterbart är </w:t>
      </w:r>
      <w:r w:rsidR="00E40C52">
        <w:t xml:space="preserve">att flera av de </w:t>
      </w:r>
      <w:r w:rsidR="00E34CB6">
        <w:t xml:space="preserve">100 </w:t>
      </w:r>
      <w:r w:rsidR="00E40C52">
        <w:t>högst rankade universiteten har stora egna resurser</w:t>
      </w:r>
      <w:r w:rsidR="0093681B">
        <w:t xml:space="preserve"> och är </w:t>
      </w:r>
      <w:r w:rsidR="003E3A54">
        <w:t xml:space="preserve">sålunda </w:t>
      </w:r>
      <w:r w:rsidR="0093681B">
        <w:t>inte lika beroende av externa forskningsmedel som KTH</w:t>
      </w:r>
      <w:r w:rsidR="00E40C52">
        <w:t xml:space="preserve">. </w:t>
      </w:r>
      <w:r w:rsidR="00434AD8">
        <w:t>MIT har exempelvis en omsättning som är mer än åtta gånger större än KTH:s.</w:t>
      </w:r>
      <w:r w:rsidR="00427538">
        <w:t xml:space="preserve"> </w:t>
      </w:r>
      <w:r w:rsidR="008315EE">
        <w:t>Högt upp på listorna återfinns</w:t>
      </w:r>
      <w:r w:rsidR="00427538">
        <w:t xml:space="preserve"> också flera anrika flerfakultetsuniversitet med stora resurser och förenat med hög prestige som Oxford, Cambridge etc. </w:t>
      </w:r>
    </w:p>
    <w:p w:rsidR="00C564F2" w:rsidRPr="004B7972" w:rsidRDefault="00C564F2" w:rsidP="00C564F2"/>
    <w:p w:rsidR="00434AD8" w:rsidRDefault="006C3C85" w:rsidP="00C564F2">
      <w:r>
        <w:t>R</w:t>
      </w:r>
      <w:r w:rsidR="00EC19FB">
        <w:t>ank</w:t>
      </w:r>
      <w:r w:rsidR="003E3A54">
        <w:t>n</w:t>
      </w:r>
      <w:r w:rsidR="00EC19FB">
        <w:t xml:space="preserve">ingar </w:t>
      </w:r>
      <w:r>
        <w:t>tenderar att öka i betydelse</w:t>
      </w:r>
      <w:r w:rsidR="00EC19FB">
        <w:t>,</w:t>
      </w:r>
      <w:r>
        <w:t xml:space="preserve"> inte minst med tanke på att flera förespråkare</w:t>
      </w:r>
      <w:r w:rsidR="00896F16">
        <w:t xml:space="preserve">, bland annat </w:t>
      </w:r>
      <w:r w:rsidR="00554218">
        <w:t>EU-kommissionen</w:t>
      </w:r>
      <w:r w:rsidR="00896F16">
        <w:t>,</w:t>
      </w:r>
      <w:r>
        <w:t xml:space="preserve"> ser </w:t>
      </w:r>
      <w:r w:rsidR="00E40C52">
        <w:t>rank</w:t>
      </w:r>
      <w:r w:rsidR="00A9481A">
        <w:t>n</w:t>
      </w:r>
      <w:r w:rsidR="00E40C52">
        <w:t>ingar och konkurrens</w:t>
      </w:r>
      <w:r>
        <w:t xml:space="preserve"> som ett incitament </w:t>
      </w:r>
      <w:r w:rsidR="00AA00A2">
        <w:t xml:space="preserve">för </w:t>
      </w:r>
      <w:r>
        <w:t>att öka kvaliteten inom forskning och högre utbildning</w:t>
      </w:r>
      <w:r w:rsidR="00896F16">
        <w:t xml:space="preserve">. </w:t>
      </w:r>
      <w:r w:rsidR="00554218">
        <w:t>Ur ett internationellt perspektiv är tendensen att rankade universitet</w:t>
      </w:r>
      <w:r w:rsidR="00554218" w:rsidRPr="00554218">
        <w:t xml:space="preserve"> tilldelas allt mer resurser medan de som är orankade får nöja sig med allt mindre</w:t>
      </w:r>
      <w:r w:rsidR="003E3A54">
        <w:t>, det vill säga Matteuseffekten</w:t>
      </w:r>
      <w:r w:rsidR="00554218">
        <w:t>.</w:t>
      </w:r>
      <w:r w:rsidR="00554218" w:rsidRPr="00554218">
        <w:t xml:space="preserve"> </w:t>
      </w:r>
    </w:p>
    <w:p w:rsidR="00434AD8" w:rsidRDefault="00434AD8" w:rsidP="00C564F2"/>
    <w:p w:rsidR="00EC19FB" w:rsidRDefault="00896F16" w:rsidP="00C564F2">
      <w:r>
        <w:t>Med tanke på utvecklingen och rank</w:t>
      </w:r>
      <w:r w:rsidR="003E3A54">
        <w:t>n</w:t>
      </w:r>
      <w:r>
        <w:t xml:space="preserve">ingarnas betydelse </w:t>
      </w:r>
      <w:r w:rsidR="00EC19FB">
        <w:t xml:space="preserve">är det av stor strategisk betydelse att KTH också </w:t>
      </w:r>
      <w:r w:rsidR="006B52A8">
        <w:t>i fortsättningen</w:t>
      </w:r>
      <w:r w:rsidR="00EC19FB">
        <w:t xml:space="preserve"> återfinns bland de 200 högst rankade universiteten i THE och QS.</w:t>
      </w:r>
    </w:p>
    <w:p w:rsidR="006827D7" w:rsidRDefault="006827D7" w:rsidP="00EC19FB">
      <w:pPr>
        <w:pStyle w:val="Brdtext"/>
      </w:pPr>
    </w:p>
    <w:p w:rsidR="006827D7" w:rsidRDefault="006827D7" w:rsidP="006827D7">
      <w:pPr>
        <w:pStyle w:val="Rubrik1"/>
      </w:pPr>
      <w:bookmarkStart w:id="4" w:name="_Toc53409996"/>
      <w:r>
        <w:t>KTH:s styrkor och svagheter</w:t>
      </w:r>
      <w:r w:rsidR="000405CB">
        <w:t xml:space="preserve"> sett till rankningar</w:t>
      </w:r>
      <w:bookmarkEnd w:id="4"/>
    </w:p>
    <w:p w:rsidR="006827D7" w:rsidRDefault="006827D7" w:rsidP="00C564F2">
      <w:r>
        <w:t>KTH:s främsta styrkor är en mycket hög p</w:t>
      </w:r>
      <w:r w:rsidR="009B52DE">
        <w:t>roduktion av publikationer per lärare och forskare</w:t>
      </w:r>
      <w:r>
        <w:t>, en mycket hög andel sampublicering med forskare från andra internationella lärosäten</w:t>
      </w:r>
      <w:r w:rsidR="000959B9">
        <w:t xml:space="preserve"> (drygt 7</w:t>
      </w:r>
      <w:r w:rsidR="001A17DD">
        <w:t>0 procent av det totala</w:t>
      </w:r>
      <w:r w:rsidR="00AA00A2">
        <w:t xml:space="preserve"> antalet publikationer)</w:t>
      </w:r>
      <w:r>
        <w:t xml:space="preserve"> och med näringslivet</w:t>
      </w:r>
      <w:r w:rsidR="00427538">
        <w:t xml:space="preserve"> (mer än tio procent)</w:t>
      </w:r>
      <w:r>
        <w:t>. KTH har en hög andel internationella forskare</w:t>
      </w:r>
      <w:r w:rsidR="00C20120">
        <w:t>,</w:t>
      </w:r>
      <w:r w:rsidR="00AA00A2">
        <w:t xml:space="preserve"> </w:t>
      </w:r>
      <w:r w:rsidR="00C20120">
        <w:t xml:space="preserve">lärare </w:t>
      </w:r>
      <w:r w:rsidR="00AA00A2">
        <w:t>(drygt 37 procent</w:t>
      </w:r>
      <w:r w:rsidR="00490CC6">
        <w:t xml:space="preserve"> av KTH:s lärare och forskare</w:t>
      </w:r>
      <w:r w:rsidR="00AA00A2">
        <w:t xml:space="preserve"> har utländsk bakgrund)</w:t>
      </w:r>
      <w:r>
        <w:t xml:space="preserve"> och studenter</w:t>
      </w:r>
      <w:r w:rsidR="00C20120">
        <w:t xml:space="preserve"> (drygt 20 procent)</w:t>
      </w:r>
      <w:r>
        <w:t xml:space="preserve">. </w:t>
      </w:r>
      <w:r w:rsidR="00896F16">
        <w:t>Lärosätet</w:t>
      </w:r>
      <w:r>
        <w:t xml:space="preserve"> är framgångsrikt med att attrahera forskningsmedel från externa finansiärer. </w:t>
      </w:r>
    </w:p>
    <w:p w:rsidR="00C564F2" w:rsidRDefault="00C564F2" w:rsidP="00C564F2"/>
    <w:p w:rsidR="006827D7" w:rsidRDefault="006827D7" w:rsidP="00490CC6">
      <w:r w:rsidRPr="00353815">
        <w:t xml:space="preserve">KTH rankas bland de 300 främsta i </w:t>
      </w:r>
      <w:r w:rsidR="00353815" w:rsidRPr="00353815">
        <w:t>15</w:t>
      </w:r>
      <w:r w:rsidRPr="00353815">
        <w:t xml:space="preserve"> olika ämnen </w:t>
      </w:r>
      <w:r w:rsidR="00C22C4E" w:rsidRPr="00353815">
        <w:t xml:space="preserve">varav </w:t>
      </w:r>
      <w:r w:rsidR="00101838">
        <w:t>nio</w:t>
      </w:r>
      <w:r w:rsidR="00C22C4E" w:rsidRPr="00353815">
        <w:t xml:space="preserve"> </w:t>
      </w:r>
      <w:r w:rsidR="00353815" w:rsidRPr="00353815">
        <w:t>är bland</w:t>
      </w:r>
      <w:r w:rsidR="00C22C4E" w:rsidRPr="00353815">
        <w:t xml:space="preserve"> topp femtio</w:t>
      </w:r>
      <w:r w:rsidRPr="00353815">
        <w:t xml:space="preserve">. </w:t>
      </w:r>
      <w:r>
        <w:t xml:space="preserve">KTH står sig jämförelsevis starkt i ryktesmätningarna och presterar </w:t>
      </w:r>
      <w:r w:rsidR="009C3C66">
        <w:t xml:space="preserve">i QS </w:t>
      </w:r>
      <w:r>
        <w:t xml:space="preserve">bättre än DTU och de övriga </w:t>
      </w:r>
      <w:r>
        <w:lastRenderedPageBreak/>
        <w:t xml:space="preserve">nordiska tekniska universiteten. KTH:s rykte är på hela taget starkare än vad lärosätet presterar i de bibliometriska indikatorer som mäter forskningsimpact och forskningsexcellens. </w:t>
      </w:r>
      <w:r w:rsidR="00E40C52">
        <w:t>Sett till forskningsrykte befi</w:t>
      </w:r>
      <w:r w:rsidR="003E3A54">
        <w:t>nner sig KTH mellan 1</w:t>
      </w:r>
      <w:r w:rsidR="009A0442">
        <w:t>90-214</w:t>
      </w:r>
      <w:r w:rsidR="003E3A54">
        <w:t>, ut</w:t>
      </w:r>
      <w:r w:rsidR="00E40C52">
        <w:t>b</w:t>
      </w:r>
      <w:r w:rsidR="003E3A54">
        <w:t>i</w:t>
      </w:r>
      <w:r w:rsidR="00E40C52">
        <w:t>ldningsrykte omkring 2</w:t>
      </w:r>
      <w:r w:rsidR="009A0442">
        <w:t>26</w:t>
      </w:r>
      <w:r w:rsidR="00E40C52">
        <w:t xml:space="preserve"> och rykte bland arbetsgivare topp 100. </w:t>
      </w:r>
    </w:p>
    <w:p w:rsidR="00490CC6" w:rsidRDefault="00490CC6" w:rsidP="00490CC6"/>
    <w:p w:rsidR="006827D7" w:rsidRDefault="006827D7" w:rsidP="00C564F2">
      <w:r>
        <w:t>KTH:s största svaghet är förhållandevis medelmåttig</w:t>
      </w:r>
      <w:r w:rsidR="00FB0154">
        <w:t>a</w:t>
      </w:r>
      <w:r>
        <w:t xml:space="preserve"> </w:t>
      </w:r>
      <w:r w:rsidR="00C22C4E">
        <w:t xml:space="preserve">värden </w:t>
      </w:r>
      <w:r>
        <w:t xml:space="preserve">i </w:t>
      </w:r>
      <w:r w:rsidR="00E34CB6">
        <w:t xml:space="preserve">bibliometriska </w:t>
      </w:r>
      <w:r>
        <w:t xml:space="preserve">indikatorer som mäter forskningsimpact och forskningsexcellens. Allvarligast är den relativt låga fältnormerade citeringsgraden, </w:t>
      </w:r>
      <w:r w:rsidR="0054211D">
        <w:t xml:space="preserve">här återfinns KTH </w:t>
      </w:r>
      <w:r w:rsidR="00125F4D">
        <w:t xml:space="preserve">på </w:t>
      </w:r>
      <w:r w:rsidR="00896F16">
        <w:t xml:space="preserve">placering </w:t>
      </w:r>
      <w:r w:rsidR="00F708A6">
        <w:t>5</w:t>
      </w:r>
      <w:r w:rsidR="00C52EA8">
        <w:t>71</w:t>
      </w:r>
      <w:r w:rsidR="00125F4D">
        <w:t xml:space="preserve"> enligt THE</w:t>
      </w:r>
      <w:r>
        <w:t xml:space="preserve">. </w:t>
      </w:r>
      <w:r w:rsidR="00896F16">
        <w:t>R</w:t>
      </w:r>
      <w:r>
        <w:t xml:space="preserve">elativt mediokert </w:t>
      </w:r>
      <w:r w:rsidR="00896F16">
        <w:t xml:space="preserve">presterar KTH </w:t>
      </w:r>
      <w:r>
        <w:t xml:space="preserve">i Topp tio procent, det vill säga andelen </w:t>
      </w:r>
      <w:r w:rsidRPr="00024ABB">
        <w:t xml:space="preserve">publikationer som </w:t>
      </w:r>
      <w:r>
        <w:t xml:space="preserve">återfinns </w:t>
      </w:r>
      <w:r w:rsidRPr="00024ABB">
        <w:t xml:space="preserve">bland de tio procent </w:t>
      </w:r>
      <w:r w:rsidR="00EA79A1">
        <w:t>högst</w:t>
      </w:r>
      <w:r w:rsidRPr="00024ABB">
        <w:t xml:space="preserve"> citerade klassade inom samma ämnesområde</w:t>
      </w:r>
      <w:r w:rsidR="00C22C4E">
        <w:t>. L</w:t>
      </w:r>
      <w:r w:rsidR="00896F16">
        <w:t>äros</w:t>
      </w:r>
      <w:r w:rsidR="00C22C4E">
        <w:t xml:space="preserve">ätet har förhållandevis få högciterade forskare </w:t>
      </w:r>
      <w:r w:rsidR="00F708A6">
        <w:t>och trots att lärosätet är relativt bra på att få in artiklar</w:t>
      </w:r>
      <w:r>
        <w:t xml:space="preserve"> i High Impact Journals</w:t>
      </w:r>
      <w:r w:rsidR="00101838">
        <w:t>, är dessa inte</w:t>
      </w:r>
      <w:r w:rsidR="00F708A6">
        <w:t xml:space="preserve"> särskilt </w:t>
      </w:r>
      <w:r w:rsidR="00101838">
        <w:t>väl</w:t>
      </w:r>
      <w:r w:rsidR="00F708A6">
        <w:t>citerade</w:t>
      </w:r>
      <w:r>
        <w:t xml:space="preserve">. </w:t>
      </w:r>
      <w:r w:rsidR="004904B0">
        <w:t xml:space="preserve">En av anledningarna till de låga värdena är att KTH i jämförelse med </w:t>
      </w:r>
      <w:r w:rsidR="00E05501">
        <w:t xml:space="preserve">andra </w:t>
      </w:r>
      <w:r w:rsidR="004904B0">
        <w:t xml:space="preserve">ledande tekniska universitet har jämförelsevis få spetsar inom forskningen. </w:t>
      </w:r>
    </w:p>
    <w:p w:rsidR="00C564F2" w:rsidRDefault="00C564F2" w:rsidP="00C564F2"/>
    <w:p w:rsidR="00C4090F" w:rsidRDefault="00B66C9F" w:rsidP="00C564F2">
      <w:r>
        <w:t>I Årlig bibliometrisk uppföljning (ÅBU) framgår att h</w:t>
      </w:r>
      <w:r w:rsidR="00486686">
        <w:t>älften av KTH:s institutioner håller sett till bibliometriska kriterier världsklass och citeras över världsgenomsnittet. De övriga</w:t>
      </w:r>
      <w:r w:rsidR="00EC7ED5">
        <w:t xml:space="preserve"> institutionerna</w:t>
      </w:r>
      <w:r w:rsidR="00486686">
        <w:t xml:space="preserve"> citeras under världsgenomsnittet. </w:t>
      </w:r>
    </w:p>
    <w:p w:rsidR="00C564F2" w:rsidRDefault="00C564F2" w:rsidP="00C564F2"/>
    <w:p w:rsidR="00C4090F" w:rsidRDefault="00486686" w:rsidP="00C564F2">
      <w:r>
        <w:t>KTH har ett betydligt högre antal publikationer per lärare och forskare än exempelvis MIT</w:t>
      </w:r>
      <w:r w:rsidR="00A4229C">
        <w:t xml:space="preserve"> och EPFL</w:t>
      </w:r>
      <w:r>
        <w:t xml:space="preserve">. Mellan 2013 och 2016 har antalet kvalitetsgranskade artiklar för KTH:s del ökat med 20 procent samtidigt som den fältnormerade citeringsgraden minskat från 1,15 till 1,10. Detta </w:t>
      </w:r>
      <w:r w:rsidR="00434AD8">
        <w:t>indikerar</w:t>
      </w:r>
      <w:r>
        <w:t xml:space="preserve"> att KTH </w:t>
      </w:r>
      <w:r w:rsidR="00770DC6">
        <w:t xml:space="preserve">på aggregerad nivå </w:t>
      </w:r>
      <w:r>
        <w:t>prioriterar kvantitet fram</w:t>
      </w:r>
      <w:r w:rsidR="00E32AF5">
        <w:t>för</w:t>
      </w:r>
      <w:r>
        <w:t xml:space="preserve"> kvalitet</w:t>
      </w:r>
      <w:r w:rsidR="007D3DC3">
        <w:t xml:space="preserve"> i sin publiceringskultur</w:t>
      </w:r>
      <w:r>
        <w:t xml:space="preserve">. </w:t>
      </w:r>
    </w:p>
    <w:p w:rsidR="00C564F2" w:rsidRDefault="00C564F2" w:rsidP="00C564F2"/>
    <w:p w:rsidR="00DF6ACF" w:rsidRDefault="00353FE2" w:rsidP="00C564F2">
      <w:r>
        <w:t xml:space="preserve">En annan faktor </w:t>
      </w:r>
      <w:r w:rsidR="00665227">
        <w:t xml:space="preserve">som påverkar citeringsvärdena </w:t>
      </w:r>
      <w:r w:rsidR="00AA00A2">
        <w:t>är</w:t>
      </w:r>
      <w:r>
        <w:t xml:space="preserve"> att KTH har flera doktorander per lärare och forskare än konkurrerande lärosäten</w:t>
      </w:r>
      <w:r w:rsidR="00665227">
        <w:t>. Detta</w:t>
      </w:r>
      <w:r>
        <w:t xml:space="preserve"> leder till </w:t>
      </w:r>
      <w:r w:rsidR="009165C8">
        <w:t>försämrade</w:t>
      </w:r>
      <w:r>
        <w:t xml:space="preserve"> citeringsvärden, då doktoranderna vid KTH </w:t>
      </w:r>
      <w:r w:rsidR="007D3DC3">
        <w:t>står</w:t>
      </w:r>
      <w:r>
        <w:t xml:space="preserve"> för en </w:t>
      </w:r>
      <w:r w:rsidR="00317AF7">
        <w:t>högre</w:t>
      </w:r>
      <w:r>
        <w:t xml:space="preserve"> andel av den totala </w:t>
      </w:r>
      <w:r w:rsidR="00FD74F2">
        <w:t>produktionsvolymen</w:t>
      </w:r>
      <w:r w:rsidR="00BE4A88">
        <w:t xml:space="preserve"> av publikationer</w:t>
      </w:r>
      <w:r w:rsidR="00FD74F2">
        <w:t xml:space="preserve"> </w:t>
      </w:r>
      <w:r>
        <w:t>jämför</w:t>
      </w:r>
      <w:r w:rsidR="00A4229C">
        <w:t>t med konkurrerande universitet</w:t>
      </w:r>
      <w:r>
        <w:t>.</w:t>
      </w:r>
      <w:r w:rsidR="00665227">
        <w:rPr>
          <w:rStyle w:val="Fotnotsreferens"/>
        </w:rPr>
        <w:footnoteReference w:id="1"/>
      </w:r>
      <w:r w:rsidR="0059515C">
        <w:t xml:space="preserve"> DTU har </w:t>
      </w:r>
      <w:r w:rsidR="00D8172A">
        <w:t xml:space="preserve">som exempel </w:t>
      </w:r>
      <w:r w:rsidR="0059515C">
        <w:t>drygt 1200 doktorander jämfört med KTH med 2000.</w:t>
      </w:r>
      <w:r w:rsidR="00BE4A88">
        <w:t xml:space="preserve"> Chalmers hade 2018</w:t>
      </w:r>
      <w:r w:rsidR="00E34CB6">
        <w:t>:</w:t>
      </w:r>
      <w:r w:rsidR="00BE4A88">
        <w:t xml:space="preserve"> 966 doktorander. </w:t>
      </w:r>
      <w:r w:rsidR="007D0D4B">
        <w:t xml:space="preserve">EPFL har ungefär lika många doktorander som KTH. </w:t>
      </w:r>
      <w:r w:rsidR="00E34CB6">
        <w:t xml:space="preserve">SU har drygt 1700 doktorander. </w:t>
      </w:r>
    </w:p>
    <w:p w:rsidR="00C564F2" w:rsidRDefault="00C564F2" w:rsidP="00C564F2"/>
    <w:p w:rsidR="00577D29" w:rsidRDefault="00577D29" w:rsidP="00C564F2">
      <w:r>
        <w:t xml:space="preserve">Ett annat problem är att KTH i jämförelse med högre rankade och även jämförbara tekniska universitet som DTU och TU Eindhoven är mer beroende av externfinansiering. Detta får </w:t>
      </w:r>
      <w:r w:rsidR="00AA00A2">
        <w:t>följden</w:t>
      </w:r>
      <w:r>
        <w:t xml:space="preserve"> att vissa forskningsmiljöer söker mindre intressanta vetenskapliga</w:t>
      </w:r>
      <w:r w:rsidR="008006DC">
        <w:t xml:space="preserve"> forskningsprojekt för att säkerställa</w:t>
      </w:r>
      <w:r>
        <w:t xml:space="preserve"> finansieringen. Härigenom finns det inte heller samma möjlighet att bedriva egen nyfikenhetsdriven forskning som vid högre rankade lärosäten</w:t>
      </w:r>
      <w:r w:rsidR="00C20120">
        <w:t xml:space="preserve"> med högre basfinansiering</w:t>
      </w:r>
      <w:r>
        <w:t xml:space="preserve">. </w:t>
      </w:r>
    </w:p>
    <w:p w:rsidR="00861AB2" w:rsidRPr="00DB7902" w:rsidRDefault="00861AB2" w:rsidP="003F04C4"/>
    <w:p w:rsidR="00B05D3D" w:rsidRPr="00DB7902" w:rsidRDefault="00DB7902" w:rsidP="009C3C66">
      <w:pPr>
        <w:pStyle w:val="Rubrik1"/>
      </w:pPr>
      <w:bookmarkStart w:id="5" w:name="_Toc2763696"/>
      <w:bookmarkStart w:id="6" w:name="_Toc53409997"/>
      <w:r w:rsidRPr="00DB7902">
        <w:t>Indikatorer</w:t>
      </w:r>
      <w:r w:rsidR="00AA00A2">
        <w:t xml:space="preserve"> och viktning</w:t>
      </w:r>
      <w:r w:rsidRPr="00DB7902">
        <w:t xml:space="preserve"> THE</w:t>
      </w:r>
      <w:bookmarkEnd w:id="5"/>
      <w:bookmarkEnd w:id="6"/>
    </w:p>
    <w:p w:rsidR="00DB7902" w:rsidRPr="00DB7902" w:rsidRDefault="00DB7902" w:rsidP="00D47ECD">
      <w:pPr>
        <w:numPr>
          <w:ilvl w:val="0"/>
          <w:numId w:val="7"/>
        </w:numPr>
        <w:spacing w:after="200" w:line="276" w:lineRule="auto"/>
        <w:contextualSpacing/>
        <w:rPr>
          <w:rFonts w:eastAsia="Calibri" w:cs="Times New Roman"/>
          <w:szCs w:val="22"/>
        </w:rPr>
      </w:pPr>
      <w:r w:rsidRPr="00DB7902">
        <w:rPr>
          <w:rFonts w:eastAsia="Calibri" w:cs="Times New Roman"/>
          <w:szCs w:val="22"/>
        </w:rPr>
        <w:t>Fältnormerad citeringsgrad (</w:t>
      </w:r>
      <w:r w:rsidR="00AA00A2">
        <w:rPr>
          <w:rFonts w:eastAsia="Calibri" w:cs="Times New Roman"/>
          <w:szCs w:val="22"/>
        </w:rPr>
        <w:t>vikta</w:t>
      </w:r>
      <w:r w:rsidR="00E34CB6">
        <w:rPr>
          <w:rFonts w:eastAsia="Calibri" w:cs="Times New Roman"/>
          <w:szCs w:val="22"/>
        </w:rPr>
        <w:t>d</w:t>
      </w:r>
      <w:r w:rsidR="00AA00A2">
        <w:rPr>
          <w:rFonts w:eastAsia="Calibri" w:cs="Times New Roman"/>
          <w:szCs w:val="22"/>
        </w:rPr>
        <w:t xml:space="preserve"> </w:t>
      </w:r>
      <w:r w:rsidRPr="00DB7902">
        <w:rPr>
          <w:rFonts w:eastAsia="Calibri" w:cs="Times New Roman"/>
          <w:szCs w:val="22"/>
        </w:rPr>
        <w:t>30 procent)</w:t>
      </w:r>
    </w:p>
    <w:p w:rsidR="00DB7902" w:rsidRPr="00DB7902" w:rsidRDefault="001E1739" w:rsidP="00D47ECD">
      <w:pPr>
        <w:numPr>
          <w:ilvl w:val="0"/>
          <w:numId w:val="7"/>
        </w:numPr>
        <w:spacing w:after="200" w:line="276" w:lineRule="auto"/>
        <w:contextualSpacing/>
        <w:rPr>
          <w:rFonts w:eastAsia="Calibri" w:cs="Times New Roman"/>
          <w:szCs w:val="22"/>
        </w:rPr>
      </w:pPr>
      <w:r>
        <w:rPr>
          <w:rFonts w:eastAsia="Calibri" w:cs="Times New Roman"/>
          <w:szCs w:val="22"/>
        </w:rPr>
        <w:t>Rykte forskning (</w:t>
      </w:r>
      <w:r w:rsidR="00E34CB6">
        <w:rPr>
          <w:rFonts w:eastAsia="Calibri" w:cs="Times New Roman"/>
          <w:szCs w:val="22"/>
        </w:rPr>
        <w:t xml:space="preserve">viktad </w:t>
      </w:r>
      <w:r>
        <w:rPr>
          <w:rFonts w:eastAsia="Calibri" w:cs="Times New Roman"/>
          <w:szCs w:val="22"/>
        </w:rPr>
        <w:t xml:space="preserve">18 procent). Baserat på </w:t>
      </w:r>
      <w:r w:rsidR="00DB7902" w:rsidRPr="00DB7902">
        <w:rPr>
          <w:rFonts w:eastAsia="Calibri" w:cs="Times New Roman"/>
          <w:szCs w:val="22"/>
        </w:rPr>
        <w:t>20 000 svar för både forskning och utbildning</w:t>
      </w:r>
    </w:p>
    <w:p w:rsidR="00DB7902" w:rsidRPr="00DB7902" w:rsidRDefault="00DB7902" w:rsidP="00D47ECD">
      <w:pPr>
        <w:numPr>
          <w:ilvl w:val="0"/>
          <w:numId w:val="7"/>
        </w:numPr>
        <w:spacing w:after="200" w:line="276" w:lineRule="auto"/>
        <w:contextualSpacing/>
        <w:rPr>
          <w:rFonts w:eastAsia="Calibri" w:cs="Times New Roman"/>
          <w:szCs w:val="22"/>
        </w:rPr>
      </w:pPr>
      <w:r w:rsidRPr="00DB7902">
        <w:rPr>
          <w:rFonts w:eastAsia="Calibri" w:cs="Times New Roman"/>
          <w:szCs w:val="22"/>
        </w:rPr>
        <w:t>Rykte utbildning (</w:t>
      </w:r>
      <w:r w:rsidR="00E34CB6">
        <w:rPr>
          <w:rFonts w:eastAsia="Calibri" w:cs="Times New Roman"/>
          <w:szCs w:val="22"/>
        </w:rPr>
        <w:t xml:space="preserve">viktad </w:t>
      </w:r>
      <w:r w:rsidRPr="00DB7902">
        <w:rPr>
          <w:rFonts w:eastAsia="Calibri" w:cs="Times New Roman"/>
          <w:szCs w:val="22"/>
        </w:rPr>
        <w:t>15 procent)</w:t>
      </w:r>
      <w:r w:rsidR="001E1739">
        <w:rPr>
          <w:rFonts w:eastAsia="Calibri" w:cs="Times New Roman"/>
          <w:szCs w:val="22"/>
        </w:rPr>
        <w:t xml:space="preserve">. Baserat på </w:t>
      </w:r>
      <w:r w:rsidR="001E1739" w:rsidRPr="00DB7902">
        <w:rPr>
          <w:rFonts w:eastAsia="Calibri" w:cs="Times New Roman"/>
          <w:szCs w:val="22"/>
        </w:rPr>
        <w:t>20 000 svar för både forskning</w:t>
      </w:r>
      <w:r w:rsidR="00EC7BAB">
        <w:rPr>
          <w:rFonts w:eastAsia="Calibri" w:cs="Times New Roman"/>
          <w:szCs w:val="22"/>
        </w:rPr>
        <w:t xml:space="preserve"> och utbildning</w:t>
      </w:r>
    </w:p>
    <w:p w:rsidR="00DB7902" w:rsidRPr="00DB7902" w:rsidRDefault="00DB7902" w:rsidP="00D47ECD">
      <w:pPr>
        <w:numPr>
          <w:ilvl w:val="0"/>
          <w:numId w:val="7"/>
        </w:numPr>
        <w:spacing w:after="200" w:line="276" w:lineRule="auto"/>
        <w:contextualSpacing/>
        <w:rPr>
          <w:rFonts w:eastAsia="Calibri" w:cs="Times New Roman"/>
          <w:szCs w:val="22"/>
        </w:rPr>
      </w:pPr>
      <w:r w:rsidRPr="00DB7902">
        <w:rPr>
          <w:rFonts w:eastAsia="Calibri" w:cs="Times New Roman"/>
          <w:szCs w:val="22"/>
        </w:rPr>
        <w:t>Forskningsintäkter per lärare</w:t>
      </w:r>
      <w:r w:rsidR="00A4229C">
        <w:rPr>
          <w:rFonts w:eastAsia="Calibri" w:cs="Times New Roman"/>
          <w:szCs w:val="22"/>
        </w:rPr>
        <w:t xml:space="preserve"> </w:t>
      </w:r>
      <w:r w:rsidR="00A4229C" w:rsidRPr="00E40C52">
        <w:t>(</w:t>
      </w:r>
      <w:r w:rsidR="00E34CB6">
        <w:t xml:space="preserve">kategorin lärare består av: </w:t>
      </w:r>
      <w:r w:rsidR="00A4229C" w:rsidRPr="00E40C52">
        <w:t>professorer, gästprofessorer, adjungerade professorer, lektorer, biträdande lektorer, adjunkter och gästlärare)</w:t>
      </w:r>
      <w:r w:rsidRPr="00DB7902">
        <w:rPr>
          <w:rFonts w:eastAsia="Calibri" w:cs="Times New Roman"/>
          <w:szCs w:val="22"/>
        </w:rPr>
        <w:t xml:space="preserve"> och forskare</w:t>
      </w:r>
      <w:r w:rsidR="00A4229C">
        <w:rPr>
          <w:rFonts w:eastAsia="Calibri" w:cs="Times New Roman"/>
          <w:szCs w:val="22"/>
        </w:rPr>
        <w:t xml:space="preserve"> </w:t>
      </w:r>
      <w:r w:rsidR="00A4229C" w:rsidRPr="00E40C52">
        <w:t>(</w:t>
      </w:r>
      <w:r w:rsidR="00E34CB6">
        <w:t xml:space="preserve">kategorin forskare består av </w:t>
      </w:r>
      <w:r w:rsidR="00A4229C" w:rsidRPr="00E40C52">
        <w:t>forskare, forskningsingenjör och postdoktor)</w:t>
      </w:r>
      <w:r w:rsidRPr="00DB7902">
        <w:rPr>
          <w:rFonts w:eastAsia="Calibri" w:cs="Times New Roman"/>
          <w:szCs w:val="22"/>
        </w:rPr>
        <w:t xml:space="preserve"> (</w:t>
      </w:r>
      <w:r w:rsidR="00E34CB6">
        <w:rPr>
          <w:rFonts w:eastAsia="Calibri" w:cs="Times New Roman"/>
          <w:szCs w:val="22"/>
        </w:rPr>
        <w:t xml:space="preserve">viktad </w:t>
      </w:r>
      <w:r w:rsidRPr="00DB7902">
        <w:rPr>
          <w:rFonts w:eastAsia="Calibri" w:cs="Times New Roman"/>
          <w:szCs w:val="22"/>
        </w:rPr>
        <w:t>sex procent)</w:t>
      </w:r>
    </w:p>
    <w:p w:rsidR="00DB7902" w:rsidRPr="00DB7902" w:rsidRDefault="00DB7902" w:rsidP="00D47ECD">
      <w:pPr>
        <w:numPr>
          <w:ilvl w:val="0"/>
          <w:numId w:val="7"/>
        </w:numPr>
        <w:spacing w:after="200" w:line="276" w:lineRule="auto"/>
        <w:contextualSpacing/>
        <w:rPr>
          <w:rFonts w:eastAsia="Calibri" w:cs="Times New Roman"/>
          <w:szCs w:val="22"/>
        </w:rPr>
      </w:pPr>
      <w:r w:rsidRPr="00DB7902">
        <w:rPr>
          <w:rFonts w:eastAsia="Calibri" w:cs="Times New Roman"/>
          <w:szCs w:val="22"/>
        </w:rPr>
        <w:lastRenderedPageBreak/>
        <w:t>Antal publicerade artiklar och recensioner per lärare och forskare (</w:t>
      </w:r>
      <w:r w:rsidR="00E34CB6">
        <w:rPr>
          <w:rFonts w:eastAsia="Calibri" w:cs="Times New Roman"/>
          <w:szCs w:val="22"/>
        </w:rPr>
        <w:t xml:space="preserve">viktad </w:t>
      </w:r>
      <w:r w:rsidRPr="00DB7902">
        <w:rPr>
          <w:rFonts w:eastAsia="Calibri" w:cs="Times New Roman"/>
          <w:szCs w:val="22"/>
        </w:rPr>
        <w:t>sex procent)</w:t>
      </w:r>
    </w:p>
    <w:p w:rsidR="00DB7902" w:rsidRPr="00DB7902" w:rsidRDefault="00DB7902" w:rsidP="00D47ECD">
      <w:pPr>
        <w:numPr>
          <w:ilvl w:val="0"/>
          <w:numId w:val="7"/>
        </w:numPr>
        <w:spacing w:after="200" w:line="276" w:lineRule="auto"/>
        <w:contextualSpacing/>
        <w:rPr>
          <w:rFonts w:eastAsia="Calibri" w:cs="Times New Roman"/>
          <w:szCs w:val="22"/>
        </w:rPr>
      </w:pPr>
      <w:r w:rsidRPr="00DB7902">
        <w:rPr>
          <w:rFonts w:eastAsia="Calibri" w:cs="Times New Roman"/>
          <w:szCs w:val="22"/>
        </w:rPr>
        <w:t>Antal doktorsexamina per lärare (</w:t>
      </w:r>
      <w:r w:rsidR="00E34CB6">
        <w:rPr>
          <w:rFonts w:eastAsia="Calibri" w:cs="Times New Roman"/>
          <w:szCs w:val="22"/>
        </w:rPr>
        <w:t xml:space="preserve">viktad </w:t>
      </w:r>
      <w:r w:rsidRPr="00DB7902">
        <w:rPr>
          <w:rFonts w:eastAsia="Calibri" w:cs="Times New Roman"/>
          <w:szCs w:val="22"/>
        </w:rPr>
        <w:t>sex procent)</w:t>
      </w:r>
    </w:p>
    <w:p w:rsidR="00DB7902" w:rsidRPr="00DB7902" w:rsidRDefault="005953F8" w:rsidP="005953F8">
      <w:pPr>
        <w:numPr>
          <w:ilvl w:val="0"/>
          <w:numId w:val="7"/>
        </w:numPr>
        <w:spacing w:after="200" w:line="276" w:lineRule="auto"/>
        <w:contextualSpacing/>
        <w:rPr>
          <w:rFonts w:eastAsia="Calibri" w:cs="Times New Roman"/>
          <w:szCs w:val="22"/>
        </w:rPr>
      </w:pPr>
      <w:r w:rsidRPr="005953F8">
        <w:rPr>
          <w:rFonts w:eastAsia="Calibri" w:cs="Times New Roman"/>
          <w:szCs w:val="22"/>
        </w:rPr>
        <w:t xml:space="preserve">Antal studenter per lärare </w:t>
      </w:r>
      <w:r w:rsidR="00DB7902" w:rsidRPr="00DB7902">
        <w:rPr>
          <w:rFonts w:eastAsia="Calibri" w:cs="Times New Roman"/>
          <w:szCs w:val="22"/>
        </w:rPr>
        <w:t xml:space="preserve"> (</w:t>
      </w:r>
      <w:r w:rsidR="00E34CB6">
        <w:rPr>
          <w:rFonts w:eastAsia="Calibri" w:cs="Times New Roman"/>
          <w:szCs w:val="22"/>
        </w:rPr>
        <w:t xml:space="preserve">viktad </w:t>
      </w:r>
      <w:r w:rsidR="00DB7902" w:rsidRPr="00DB7902">
        <w:rPr>
          <w:rFonts w:eastAsia="Calibri" w:cs="Times New Roman"/>
          <w:szCs w:val="22"/>
        </w:rPr>
        <w:t>4,5 procent)</w:t>
      </w:r>
    </w:p>
    <w:p w:rsidR="00DB7902" w:rsidRPr="00DB7902" w:rsidRDefault="00DB7902" w:rsidP="00D47ECD">
      <w:pPr>
        <w:numPr>
          <w:ilvl w:val="0"/>
          <w:numId w:val="7"/>
        </w:numPr>
        <w:spacing w:after="200" w:line="276" w:lineRule="auto"/>
        <w:contextualSpacing/>
        <w:rPr>
          <w:rFonts w:eastAsia="Calibri" w:cs="Times New Roman"/>
          <w:szCs w:val="22"/>
        </w:rPr>
      </w:pPr>
      <w:r w:rsidRPr="00DB7902">
        <w:rPr>
          <w:rFonts w:eastAsia="Calibri" w:cs="Times New Roman"/>
          <w:szCs w:val="22"/>
        </w:rPr>
        <w:t>Intäkter per lärare (</w:t>
      </w:r>
      <w:r w:rsidR="00E34CB6">
        <w:rPr>
          <w:rFonts w:eastAsia="Calibri" w:cs="Times New Roman"/>
          <w:szCs w:val="22"/>
        </w:rPr>
        <w:t xml:space="preserve">viktad </w:t>
      </w:r>
      <w:r w:rsidRPr="00DB7902">
        <w:rPr>
          <w:rFonts w:eastAsia="Calibri" w:cs="Times New Roman"/>
          <w:szCs w:val="22"/>
        </w:rPr>
        <w:t>2,25 procent)</w:t>
      </w:r>
    </w:p>
    <w:p w:rsidR="00DB7902" w:rsidRPr="00DB7902" w:rsidRDefault="00DB7902" w:rsidP="00D47ECD">
      <w:pPr>
        <w:numPr>
          <w:ilvl w:val="0"/>
          <w:numId w:val="7"/>
        </w:numPr>
        <w:spacing w:after="200" w:line="276" w:lineRule="auto"/>
        <w:contextualSpacing/>
        <w:rPr>
          <w:rFonts w:eastAsia="Calibri" w:cs="Times New Roman"/>
          <w:szCs w:val="22"/>
        </w:rPr>
      </w:pPr>
      <w:r w:rsidRPr="00DB7902">
        <w:rPr>
          <w:rFonts w:eastAsia="Calibri" w:cs="Times New Roman"/>
          <w:szCs w:val="22"/>
        </w:rPr>
        <w:t>Antal doktorsexamina per examina på kandidatnivå (</w:t>
      </w:r>
      <w:r w:rsidR="00E34CB6">
        <w:rPr>
          <w:rFonts w:eastAsia="Calibri" w:cs="Times New Roman"/>
          <w:szCs w:val="22"/>
        </w:rPr>
        <w:t xml:space="preserve">viktad </w:t>
      </w:r>
      <w:r w:rsidRPr="00DB7902">
        <w:rPr>
          <w:rFonts w:eastAsia="Calibri" w:cs="Times New Roman"/>
          <w:szCs w:val="22"/>
        </w:rPr>
        <w:t>2,25 procent)</w:t>
      </w:r>
    </w:p>
    <w:p w:rsidR="00DB7902" w:rsidRPr="00DB7902" w:rsidRDefault="00DB7902" w:rsidP="00D47ECD">
      <w:pPr>
        <w:numPr>
          <w:ilvl w:val="0"/>
          <w:numId w:val="7"/>
        </w:numPr>
        <w:spacing w:after="200" w:line="276" w:lineRule="auto"/>
        <w:contextualSpacing/>
        <w:rPr>
          <w:rFonts w:eastAsia="Calibri" w:cs="Times New Roman"/>
          <w:szCs w:val="22"/>
        </w:rPr>
      </w:pPr>
      <w:r w:rsidRPr="00DB7902">
        <w:rPr>
          <w:rFonts w:eastAsia="Calibri" w:cs="Times New Roman"/>
          <w:szCs w:val="22"/>
        </w:rPr>
        <w:t>Andel internationella studenter (</w:t>
      </w:r>
      <w:r w:rsidR="00E34CB6">
        <w:rPr>
          <w:rFonts w:eastAsia="Calibri" w:cs="Times New Roman"/>
          <w:szCs w:val="22"/>
        </w:rPr>
        <w:t xml:space="preserve">viktad </w:t>
      </w:r>
      <w:r w:rsidRPr="00DB7902">
        <w:rPr>
          <w:rFonts w:eastAsia="Calibri" w:cs="Times New Roman"/>
          <w:szCs w:val="22"/>
        </w:rPr>
        <w:t>2,5 procent)</w:t>
      </w:r>
    </w:p>
    <w:p w:rsidR="00DB7902" w:rsidRPr="00DB7902" w:rsidRDefault="00DB7902" w:rsidP="00D47ECD">
      <w:pPr>
        <w:numPr>
          <w:ilvl w:val="0"/>
          <w:numId w:val="7"/>
        </w:numPr>
        <w:spacing w:after="200" w:line="276" w:lineRule="auto"/>
        <w:contextualSpacing/>
        <w:rPr>
          <w:rFonts w:eastAsia="Calibri" w:cs="Times New Roman"/>
          <w:szCs w:val="22"/>
        </w:rPr>
      </w:pPr>
      <w:r w:rsidRPr="00DB7902">
        <w:rPr>
          <w:rFonts w:eastAsia="Calibri" w:cs="Times New Roman"/>
          <w:szCs w:val="22"/>
        </w:rPr>
        <w:t>Andel internationella lärare (</w:t>
      </w:r>
      <w:r w:rsidR="00E34CB6">
        <w:rPr>
          <w:rFonts w:eastAsia="Calibri" w:cs="Times New Roman"/>
          <w:szCs w:val="22"/>
        </w:rPr>
        <w:t xml:space="preserve">viktad </w:t>
      </w:r>
      <w:r w:rsidRPr="00DB7902">
        <w:rPr>
          <w:rFonts w:eastAsia="Calibri" w:cs="Times New Roman"/>
          <w:szCs w:val="22"/>
        </w:rPr>
        <w:t xml:space="preserve">2,5 procent) </w:t>
      </w:r>
    </w:p>
    <w:p w:rsidR="00DB7902" w:rsidRPr="00DB7902" w:rsidRDefault="00DB7902" w:rsidP="00D47ECD">
      <w:pPr>
        <w:numPr>
          <w:ilvl w:val="0"/>
          <w:numId w:val="7"/>
        </w:numPr>
        <w:spacing w:after="200" w:line="276" w:lineRule="auto"/>
        <w:contextualSpacing/>
        <w:rPr>
          <w:rFonts w:eastAsia="Calibri" w:cs="Times New Roman"/>
          <w:szCs w:val="22"/>
        </w:rPr>
      </w:pPr>
      <w:r w:rsidRPr="00DB7902">
        <w:rPr>
          <w:rFonts w:eastAsia="Calibri" w:cs="Times New Roman"/>
          <w:szCs w:val="22"/>
        </w:rPr>
        <w:t>Antal artiklar och recensioner skrivna i samarbete med forskare från ett annat internationellt universitet (</w:t>
      </w:r>
      <w:r w:rsidR="00E34CB6">
        <w:rPr>
          <w:rFonts w:eastAsia="Calibri" w:cs="Times New Roman"/>
          <w:szCs w:val="22"/>
        </w:rPr>
        <w:t xml:space="preserve">viktad </w:t>
      </w:r>
      <w:r w:rsidRPr="00DB7902">
        <w:rPr>
          <w:rFonts w:eastAsia="Calibri" w:cs="Times New Roman"/>
          <w:szCs w:val="22"/>
        </w:rPr>
        <w:t>2,5 procent)</w:t>
      </w:r>
    </w:p>
    <w:p w:rsidR="00DB7902" w:rsidRPr="00DB7902" w:rsidRDefault="00DB7902" w:rsidP="00D47ECD">
      <w:pPr>
        <w:numPr>
          <w:ilvl w:val="0"/>
          <w:numId w:val="7"/>
        </w:numPr>
        <w:spacing w:after="200" w:line="276" w:lineRule="auto"/>
        <w:contextualSpacing/>
        <w:rPr>
          <w:rFonts w:eastAsia="Calibri" w:cs="Times New Roman"/>
          <w:szCs w:val="22"/>
        </w:rPr>
      </w:pPr>
      <w:r w:rsidRPr="00DB7902">
        <w:rPr>
          <w:rFonts w:eastAsia="Calibri" w:cs="Times New Roman"/>
          <w:szCs w:val="22"/>
        </w:rPr>
        <w:t>Intäkter från näringslivet per lärare (</w:t>
      </w:r>
      <w:r w:rsidR="00E34CB6">
        <w:rPr>
          <w:rFonts w:eastAsia="Calibri" w:cs="Times New Roman"/>
          <w:szCs w:val="22"/>
        </w:rPr>
        <w:t xml:space="preserve">viktad </w:t>
      </w:r>
      <w:r w:rsidRPr="00DB7902">
        <w:rPr>
          <w:rFonts w:eastAsia="Calibri" w:cs="Times New Roman"/>
          <w:szCs w:val="22"/>
        </w:rPr>
        <w:t>2,5 procent)</w:t>
      </w:r>
      <w:r w:rsidR="00DE3C50">
        <w:rPr>
          <w:rFonts w:eastAsia="Calibri" w:cs="Times New Roman"/>
          <w:szCs w:val="22"/>
        </w:rPr>
        <w:t>.</w:t>
      </w:r>
    </w:p>
    <w:p w:rsidR="00DB7902" w:rsidRPr="00DB7902" w:rsidRDefault="00DB7902" w:rsidP="00DB7902"/>
    <w:p w:rsidR="00DB7902" w:rsidRPr="00DB7902" w:rsidRDefault="00DB7902" w:rsidP="00DB7902">
      <w:r w:rsidRPr="00DB7902">
        <w:t>63 procent av den totala poängen insamlas av THE</w:t>
      </w:r>
      <w:r w:rsidR="00B05D3D">
        <w:t>:</w:t>
      </w:r>
      <w:r w:rsidR="00DE3C50">
        <w:t xml:space="preserve"> 30 </w:t>
      </w:r>
      <w:r w:rsidR="00B05D3D">
        <w:t>procent</w:t>
      </w:r>
      <w:r w:rsidR="00DE3C50">
        <w:t xml:space="preserve"> bibliometri</w:t>
      </w:r>
      <w:r w:rsidR="00B05D3D">
        <w:t xml:space="preserve"> och</w:t>
      </w:r>
      <w:r w:rsidR="00DE3C50">
        <w:t xml:space="preserve"> 33 procent rykte. </w:t>
      </w:r>
      <w:r w:rsidR="00AA00A2">
        <w:t>KTH står för resterande 37 procent.</w:t>
      </w:r>
    </w:p>
    <w:p w:rsidR="00B05D3D" w:rsidRDefault="00B05D3D" w:rsidP="00DE3C50"/>
    <w:p w:rsidR="00E40C52" w:rsidRDefault="00DB7902" w:rsidP="00DB7902">
      <w:r w:rsidRPr="00DB7902">
        <w:t>Ämnes</w:t>
      </w:r>
      <w:r w:rsidR="00560711">
        <w:t>områdes</w:t>
      </w:r>
      <w:r w:rsidRPr="00DB7902">
        <w:t>rank</w:t>
      </w:r>
      <w:r w:rsidR="00560711">
        <w:t>n</w:t>
      </w:r>
      <w:r w:rsidRPr="00DB7902">
        <w:t>ingarna</w:t>
      </w:r>
      <w:r w:rsidR="00AA00A2">
        <w:t xml:space="preserve"> (Engineering &amp; Technology, Computer Science</w:t>
      </w:r>
      <w:r w:rsidR="00353815">
        <w:t>, Physical Sciences</w:t>
      </w:r>
      <w:r w:rsidR="00AA00A2">
        <w:t xml:space="preserve"> etc.)</w:t>
      </w:r>
      <w:r w:rsidRPr="00DB7902">
        <w:t xml:space="preserve"> har samma indikatorer och viktningar som ovan</w:t>
      </w:r>
      <w:r w:rsidR="00B05D3D">
        <w:t>.</w:t>
      </w:r>
    </w:p>
    <w:p w:rsidR="00E40C52" w:rsidRDefault="00E40C52" w:rsidP="003F04C4"/>
    <w:p w:rsidR="00E40C52" w:rsidRPr="00E40C52" w:rsidRDefault="00E40C52" w:rsidP="00B05D3D">
      <w:pPr>
        <w:pStyle w:val="Rubrik1"/>
      </w:pPr>
      <w:bookmarkStart w:id="7" w:name="_Toc53409998"/>
      <w:r w:rsidRPr="00E40C52">
        <w:t xml:space="preserve">Indikatorer </w:t>
      </w:r>
      <w:r w:rsidR="00AA00A2">
        <w:t xml:space="preserve">och viktning </w:t>
      </w:r>
      <w:r w:rsidRPr="00E40C52">
        <w:t>QS</w:t>
      </w:r>
      <w:bookmarkEnd w:id="7"/>
    </w:p>
    <w:p w:rsidR="00E40C52" w:rsidRDefault="00E40C52" w:rsidP="00DB7902"/>
    <w:p w:rsidR="00E40C52" w:rsidRPr="00E40C52" w:rsidRDefault="00E40C52" w:rsidP="00D47ECD">
      <w:pPr>
        <w:pStyle w:val="Liststycke"/>
        <w:numPr>
          <w:ilvl w:val="0"/>
          <w:numId w:val="8"/>
        </w:numPr>
        <w:rPr>
          <w:rFonts w:asciiTheme="minorHAnsi" w:hAnsiTheme="minorHAnsi"/>
        </w:rPr>
      </w:pPr>
      <w:r w:rsidRPr="00E40C52">
        <w:rPr>
          <w:rFonts w:asciiTheme="minorHAnsi" w:hAnsiTheme="minorHAnsi"/>
        </w:rPr>
        <w:t>Academic Reputation (</w:t>
      </w:r>
      <w:r w:rsidR="00AA00A2">
        <w:rPr>
          <w:rFonts w:asciiTheme="minorHAnsi" w:hAnsiTheme="minorHAnsi"/>
        </w:rPr>
        <w:t>vikta</w:t>
      </w:r>
      <w:r w:rsidR="002A33F7">
        <w:rPr>
          <w:rFonts w:asciiTheme="minorHAnsi" w:hAnsiTheme="minorHAnsi"/>
        </w:rPr>
        <w:t>d</w:t>
      </w:r>
      <w:r w:rsidR="00AA00A2">
        <w:rPr>
          <w:rFonts w:asciiTheme="minorHAnsi" w:hAnsiTheme="minorHAnsi"/>
        </w:rPr>
        <w:t xml:space="preserve"> </w:t>
      </w:r>
      <w:r w:rsidRPr="00E40C52">
        <w:rPr>
          <w:rFonts w:asciiTheme="minorHAnsi" w:hAnsiTheme="minorHAnsi"/>
        </w:rPr>
        <w:t>40 procent)</w:t>
      </w:r>
      <w:r w:rsidR="00385B17">
        <w:rPr>
          <w:rFonts w:asciiTheme="minorHAnsi" w:hAnsiTheme="minorHAnsi"/>
        </w:rPr>
        <w:t>.</w:t>
      </w:r>
      <w:r w:rsidRPr="00E40C52">
        <w:rPr>
          <w:rFonts w:asciiTheme="minorHAnsi" w:hAnsiTheme="minorHAnsi"/>
        </w:rPr>
        <w:t xml:space="preserve"> </w:t>
      </w:r>
      <w:r w:rsidR="001E1739">
        <w:rPr>
          <w:rFonts w:asciiTheme="minorHAnsi" w:hAnsiTheme="minorHAnsi"/>
        </w:rPr>
        <w:t xml:space="preserve">Baserat på </w:t>
      </w:r>
      <w:r w:rsidR="00516B41">
        <w:rPr>
          <w:rFonts w:asciiTheme="minorHAnsi" w:hAnsiTheme="minorHAnsi"/>
        </w:rPr>
        <w:t>94</w:t>
      </w:r>
      <w:r w:rsidRPr="00E40C52">
        <w:rPr>
          <w:rFonts w:asciiTheme="minorHAnsi" w:hAnsiTheme="minorHAnsi"/>
        </w:rPr>
        <w:t xml:space="preserve"> 000 svar</w:t>
      </w:r>
    </w:p>
    <w:p w:rsidR="00E40C52" w:rsidRPr="00E40C52" w:rsidRDefault="00E40C52" w:rsidP="00D47ECD">
      <w:pPr>
        <w:pStyle w:val="Liststycke"/>
        <w:numPr>
          <w:ilvl w:val="0"/>
          <w:numId w:val="8"/>
        </w:numPr>
        <w:rPr>
          <w:rFonts w:asciiTheme="minorHAnsi" w:hAnsiTheme="minorHAnsi"/>
        </w:rPr>
      </w:pPr>
      <w:r w:rsidRPr="00E40C52">
        <w:rPr>
          <w:rFonts w:asciiTheme="minorHAnsi" w:hAnsiTheme="minorHAnsi"/>
        </w:rPr>
        <w:t>Employers Reputation (</w:t>
      </w:r>
      <w:r w:rsidR="002A33F7">
        <w:rPr>
          <w:rFonts w:asciiTheme="minorHAnsi" w:hAnsiTheme="minorHAnsi"/>
        </w:rPr>
        <w:t xml:space="preserve">viktad </w:t>
      </w:r>
      <w:r w:rsidRPr="00E40C52">
        <w:rPr>
          <w:rFonts w:asciiTheme="minorHAnsi" w:hAnsiTheme="minorHAnsi"/>
        </w:rPr>
        <w:t>10 procent)</w:t>
      </w:r>
      <w:r w:rsidR="00385B17">
        <w:rPr>
          <w:rFonts w:asciiTheme="minorHAnsi" w:hAnsiTheme="minorHAnsi"/>
        </w:rPr>
        <w:t>.</w:t>
      </w:r>
      <w:r w:rsidRPr="00E40C52">
        <w:rPr>
          <w:rFonts w:asciiTheme="minorHAnsi" w:hAnsiTheme="minorHAnsi"/>
        </w:rPr>
        <w:t xml:space="preserve"> </w:t>
      </w:r>
      <w:r w:rsidR="001E1739">
        <w:rPr>
          <w:rFonts w:asciiTheme="minorHAnsi" w:hAnsiTheme="minorHAnsi"/>
        </w:rPr>
        <w:t xml:space="preserve">Baserat på </w:t>
      </w:r>
      <w:r w:rsidRPr="00E40C52">
        <w:rPr>
          <w:rFonts w:asciiTheme="minorHAnsi" w:hAnsiTheme="minorHAnsi"/>
        </w:rPr>
        <w:t>4</w:t>
      </w:r>
      <w:r w:rsidR="00516B41">
        <w:rPr>
          <w:rFonts w:asciiTheme="minorHAnsi" w:hAnsiTheme="minorHAnsi"/>
        </w:rPr>
        <w:t>5</w:t>
      </w:r>
      <w:r w:rsidRPr="00E40C52">
        <w:rPr>
          <w:rFonts w:asciiTheme="minorHAnsi" w:hAnsiTheme="minorHAnsi"/>
        </w:rPr>
        <w:t xml:space="preserve"> 000 svar</w:t>
      </w:r>
    </w:p>
    <w:p w:rsidR="00E40C52" w:rsidRPr="00E40C52" w:rsidRDefault="00E40C52" w:rsidP="00D47ECD">
      <w:pPr>
        <w:pStyle w:val="Liststycke"/>
        <w:numPr>
          <w:ilvl w:val="0"/>
          <w:numId w:val="8"/>
        </w:numPr>
        <w:rPr>
          <w:rFonts w:asciiTheme="minorHAnsi" w:hAnsiTheme="minorHAnsi"/>
        </w:rPr>
      </w:pPr>
      <w:r w:rsidRPr="00E40C52">
        <w:rPr>
          <w:rFonts w:asciiTheme="minorHAnsi" w:hAnsiTheme="minorHAnsi"/>
        </w:rPr>
        <w:t>Citeringar per lärare (</w:t>
      </w:r>
      <w:r w:rsidR="002A33F7">
        <w:rPr>
          <w:rFonts w:asciiTheme="minorHAnsi" w:hAnsiTheme="minorHAnsi"/>
        </w:rPr>
        <w:t xml:space="preserve">kategorin lärare består av: </w:t>
      </w:r>
      <w:r w:rsidRPr="00E40C52">
        <w:rPr>
          <w:rFonts w:asciiTheme="minorHAnsi" w:hAnsiTheme="minorHAnsi"/>
        </w:rPr>
        <w:t>professorer, gästprofessorer, adjungerade professorer, lektorer, biträdande lektorer, adjunkter och gästlärare) och forskare (</w:t>
      </w:r>
      <w:r w:rsidR="002A33F7">
        <w:rPr>
          <w:rFonts w:asciiTheme="minorHAnsi" w:hAnsiTheme="minorHAnsi"/>
        </w:rPr>
        <w:t xml:space="preserve">kategorin forskare består av: </w:t>
      </w:r>
      <w:r w:rsidRPr="00E40C52">
        <w:rPr>
          <w:rFonts w:asciiTheme="minorHAnsi" w:hAnsiTheme="minorHAnsi"/>
        </w:rPr>
        <w:t>forskare, forskningsingenjör och postdoktor) (</w:t>
      </w:r>
      <w:r w:rsidR="002A33F7">
        <w:rPr>
          <w:rFonts w:asciiTheme="minorHAnsi" w:hAnsiTheme="minorHAnsi"/>
        </w:rPr>
        <w:t xml:space="preserve">viktad </w:t>
      </w:r>
      <w:r w:rsidRPr="00E40C52">
        <w:rPr>
          <w:rFonts w:asciiTheme="minorHAnsi" w:hAnsiTheme="minorHAnsi"/>
        </w:rPr>
        <w:t>20 procent)</w:t>
      </w:r>
    </w:p>
    <w:p w:rsidR="00E40C52" w:rsidRPr="00E40C52" w:rsidRDefault="00E40C52" w:rsidP="00D47ECD">
      <w:pPr>
        <w:pStyle w:val="Liststycke"/>
        <w:numPr>
          <w:ilvl w:val="0"/>
          <w:numId w:val="8"/>
        </w:numPr>
        <w:rPr>
          <w:rFonts w:asciiTheme="minorHAnsi" w:hAnsiTheme="minorHAnsi"/>
        </w:rPr>
      </w:pPr>
      <w:r w:rsidRPr="00E40C52">
        <w:rPr>
          <w:rFonts w:asciiTheme="minorHAnsi" w:hAnsiTheme="minorHAnsi"/>
        </w:rPr>
        <w:t>Antal lärare och forskare</w:t>
      </w:r>
      <w:r w:rsidR="005C17FE">
        <w:rPr>
          <w:rFonts w:asciiTheme="minorHAnsi" w:hAnsiTheme="minorHAnsi"/>
        </w:rPr>
        <w:t xml:space="preserve"> per studenter</w:t>
      </w:r>
      <w:r w:rsidRPr="00E40C52">
        <w:rPr>
          <w:rFonts w:asciiTheme="minorHAnsi" w:hAnsiTheme="minorHAnsi"/>
        </w:rPr>
        <w:t xml:space="preserve"> (</w:t>
      </w:r>
      <w:r w:rsidR="002A33F7">
        <w:rPr>
          <w:rFonts w:asciiTheme="minorHAnsi" w:hAnsiTheme="minorHAnsi"/>
        </w:rPr>
        <w:t xml:space="preserve">viktad </w:t>
      </w:r>
      <w:r w:rsidRPr="00E40C52">
        <w:rPr>
          <w:rFonts w:asciiTheme="minorHAnsi" w:hAnsiTheme="minorHAnsi"/>
        </w:rPr>
        <w:t>20 procent)</w:t>
      </w:r>
    </w:p>
    <w:p w:rsidR="00E40C52" w:rsidRPr="00E40C52" w:rsidRDefault="00E40C52" w:rsidP="00D47ECD">
      <w:pPr>
        <w:pStyle w:val="Liststycke"/>
        <w:numPr>
          <w:ilvl w:val="0"/>
          <w:numId w:val="8"/>
        </w:numPr>
        <w:rPr>
          <w:rFonts w:asciiTheme="minorHAnsi" w:hAnsiTheme="minorHAnsi"/>
        </w:rPr>
      </w:pPr>
      <w:r w:rsidRPr="00E40C52">
        <w:rPr>
          <w:rFonts w:asciiTheme="minorHAnsi" w:hAnsiTheme="minorHAnsi"/>
        </w:rPr>
        <w:t>Andel internationella lärare och forskare (</w:t>
      </w:r>
      <w:r w:rsidR="002A33F7">
        <w:rPr>
          <w:rFonts w:asciiTheme="minorHAnsi" w:hAnsiTheme="minorHAnsi"/>
        </w:rPr>
        <w:t xml:space="preserve">viktad </w:t>
      </w:r>
      <w:r w:rsidRPr="00E40C52">
        <w:rPr>
          <w:rFonts w:asciiTheme="minorHAnsi" w:hAnsiTheme="minorHAnsi"/>
        </w:rPr>
        <w:t>5 procent)</w:t>
      </w:r>
    </w:p>
    <w:p w:rsidR="00E40C52" w:rsidRPr="00E40C52" w:rsidRDefault="00E40C52" w:rsidP="00D47ECD">
      <w:pPr>
        <w:pStyle w:val="Liststycke"/>
        <w:numPr>
          <w:ilvl w:val="0"/>
          <w:numId w:val="8"/>
        </w:numPr>
        <w:rPr>
          <w:rFonts w:asciiTheme="minorHAnsi" w:hAnsiTheme="minorHAnsi"/>
        </w:rPr>
      </w:pPr>
      <w:r w:rsidRPr="00E40C52">
        <w:rPr>
          <w:rFonts w:asciiTheme="minorHAnsi" w:hAnsiTheme="minorHAnsi"/>
        </w:rPr>
        <w:t>Andel internationella studenter (</w:t>
      </w:r>
      <w:r w:rsidR="002A33F7">
        <w:rPr>
          <w:rFonts w:asciiTheme="minorHAnsi" w:hAnsiTheme="minorHAnsi"/>
        </w:rPr>
        <w:t xml:space="preserve">viktad </w:t>
      </w:r>
      <w:r w:rsidRPr="00E40C52">
        <w:rPr>
          <w:rFonts w:asciiTheme="minorHAnsi" w:hAnsiTheme="minorHAnsi"/>
        </w:rPr>
        <w:t>5 procent)</w:t>
      </w:r>
    </w:p>
    <w:p w:rsidR="00E40C52" w:rsidRPr="00E40C52" w:rsidRDefault="00E40C52" w:rsidP="00E40C52"/>
    <w:p w:rsidR="00E40C52" w:rsidRPr="00DB7902" w:rsidRDefault="00E40C52" w:rsidP="00E40C52">
      <w:r w:rsidRPr="00E40C52">
        <w:t>60 procent av den totala poängen insamlas av QS</w:t>
      </w:r>
      <w:r w:rsidR="00DE3C50">
        <w:t>.</w:t>
      </w:r>
      <w:r w:rsidR="00B05D3D">
        <w:t xml:space="preserve"> 50 procent rykte, 20 procent citeringar per lärare och forskare. </w:t>
      </w:r>
      <w:r w:rsidR="00AA00A2">
        <w:t xml:space="preserve">40 procent av underlaget bifogas av KTH. </w:t>
      </w:r>
    </w:p>
    <w:p w:rsidR="00DB7902" w:rsidRPr="00DB7902" w:rsidRDefault="00DB7902" w:rsidP="00DB7902"/>
    <w:p w:rsidR="00DB7902" w:rsidRPr="00DB7902" w:rsidRDefault="00DB7902" w:rsidP="00DE3C50">
      <w:pPr>
        <w:pStyle w:val="Rubrik1"/>
      </w:pPr>
      <w:bookmarkStart w:id="8" w:name="_Toc435088031"/>
      <w:bookmarkStart w:id="9" w:name="_Toc496883786"/>
      <w:bookmarkStart w:id="10" w:name="_Toc2763697"/>
      <w:bookmarkStart w:id="11" w:name="_Toc53409999"/>
      <w:r w:rsidRPr="00DB7902">
        <w:t>Metod</w:t>
      </w:r>
      <w:bookmarkEnd w:id="8"/>
      <w:bookmarkEnd w:id="9"/>
      <w:bookmarkEnd w:id="10"/>
      <w:r w:rsidR="0076009B">
        <w:t xml:space="preserve"> THE och QS</w:t>
      </w:r>
      <w:bookmarkEnd w:id="11"/>
    </w:p>
    <w:p w:rsidR="009165C8" w:rsidRDefault="00B94591" w:rsidP="00DB7902">
      <w:r>
        <w:t>Rank</w:t>
      </w:r>
      <w:r w:rsidR="00AF2FA4">
        <w:t>n</w:t>
      </w:r>
      <w:r>
        <w:t>ingar har metodiska problem</w:t>
      </w:r>
      <w:r w:rsidR="00B05D3D">
        <w:t xml:space="preserve"> framför allt </w:t>
      </w:r>
      <w:r w:rsidR="000875D1">
        <w:t>avseende</w:t>
      </w:r>
      <w:r w:rsidR="00B05D3D">
        <w:t xml:space="preserve"> </w:t>
      </w:r>
      <w:r w:rsidR="00AF2FA4">
        <w:t>beräkning</w:t>
      </w:r>
      <w:r w:rsidR="00B05D3D">
        <w:t xml:space="preserve"> av ligaplaceringar. Redan vid </w:t>
      </w:r>
      <w:r w:rsidR="00AF2FA4">
        <w:t>placering</w:t>
      </w:r>
      <w:r w:rsidR="00B05D3D">
        <w:t xml:space="preserve"> 80 börjar </w:t>
      </w:r>
      <w:r w:rsidR="00AF2FA4">
        <w:t>det bli mycket jämnt</w:t>
      </w:r>
      <w:r w:rsidR="00B05D3D">
        <w:t xml:space="preserve"> och när man nått KTH:s nivå på placering </w:t>
      </w:r>
      <w:r w:rsidR="00C52EA8">
        <w:t>201-250</w:t>
      </w:r>
      <w:r w:rsidR="00B05D3D">
        <w:t xml:space="preserve"> </w:t>
      </w:r>
      <w:r w:rsidR="00721CDA">
        <w:t xml:space="preserve">i THE </w:t>
      </w:r>
      <w:r w:rsidR="00AF2FA4">
        <w:t>har decimaler stor betydelse</w:t>
      </w:r>
      <w:r w:rsidR="00B05D3D">
        <w:t>.</w:t>
      </w:r>
      <w:r w:rsidR="00AF2FA4">
        <w:t xml:space="preserve"> </w:t>
      </w:r>
      <w:r w:rsidR="00AA7719">
        <w:t>S</w:t>
      </w:r>
      <w:r w:rsidR="00956687">
        <w:t>ju</w:t>
      </w:r>
      <w:r w:rsidR="00AF2FA4">
        <w:t xml:space="preserve"> poäng</w:t>
      </w:r>
      <w:r w:rsidR="00A4229C">
        <w:t xml:space="preserve"> skiljer KTH från placering</w:t>
      </w:r>
      <w:r w:rsidR="00AF2FA4">
        <w:t xml:space="preserve"> 149</w:t>
      </w:r>
      <w:r w:rsidR="00A4229C">
        <w:t xml:space="preserve"> i denna rankning</w:t>
      </w:r>
      <w:r w:rsidR="00AF2FA4">
        <w:t>.</w:t>
      </w:r>
      <w:r w:rsidR="00B05D3D">
        <w:t xml:space="preserve"> </w:t>
      </w:r>
      <w:r w:rsidR="00721CDA">
        <w:t>Marginella</w:t>
      </w:r>
      <w:r w:rsidR="00B05D3D">
        <w:t xml:space="preserve"> </w:t>
      </w:r>
      <w:r w:rsidR="00FD74F2">
        <w:t>justeringar</w:t>
      </w:r>
      <w:r w:rsidR="00B05D3D">
        <w:t xml:space="preserve"> sett till resultat kan </w:t>
      </w:r>
      <w:r w:rsidR="00AF2FA4">
        <w:t xml:space="preserve">sålunda </w:t>
      </w:r>
      <w:r w:rsidR="00B05D3D">
        <w:t xml:space="preserve">ge relativt stora förändringar </w:t>
      </w:r>
      <w:r w:rsidR="000875D1">
        <w:t>beaktat utifrån</w:t>
      </w:r>
      <w:r w:rsidR="00B05D3D">
        <w:t xml:space="preserve"> </w:t>
      </w:r>
      <w:r w:rsidR="00721CDA">
        <w:t xml:space="preserve">antal </w:t>
      </w:r>
      <w:r w:rsidR="00B05D3D">
        <w:t xml:space="preserve">ligaplaceringar. </w:t>
      </w:r>
    </w:p>
    <w:p w:rsidR="009165C8" w:rsidRDefault="009165C8" w:rsidP="00DB7902"/>
    <w:p w:rsidR="00B05D3D" w:rsidRDefault="00721CDA" w:rsidP="00DB7902">
      <w:r>
        <w:t>S</w:t>
      </w:r>
      <w:r w:rsidR="00B05D3D">
        <w:t>tora förändringar sett till resultat från ett år till ett annat</w:t>
      </w:r>
      <w:r>
        <w:t xml:space="preserve"> kan</w:t>
      </w:r>
      <w:r w:rsidR="00B05D3D">
        <w:t xml:space="preserve"> framför allt tillskrivas metodologiska justeringar</w:t>
      </w:r>
      <w:r w:rsidR="009C3C66">
        <w:t xml:space="preserve"> eller ändringar sett till inrapporterat data</w:t>
      </w:r>
      <w:r w:rsidR="00B05D3D">
        <w:t xml:space="preserve"> snarare än </w:t>
      </w:r>
      <w:r w:rsidR="00A4229C">
        <w:t>skillnader</w:t>
      </w:r>
      <w:r w:rsidR="00AF2FA4">
        <w:t xml:space="preserve"> </w:t>
      </w:r>
      <w:r w:rsidR="009C3C66">
        <w:t>beaktat</w:t>
      </w:r>
      <w:r w:rsidR="00AF2FA4">
        <w:t xml:space="preserve"> prestation i jämförelse med föregående år</w:t>
      </w:r>
      <w:r w:rsidR="00B05D3D">
        <w:t xml:space="preserve">. </w:t>
      </w:r>
    </w:p>
    <w:p w:rsidR="00A4229C" w:rsidRDefault="00A4229C" w:rsidP="00DB7902"/>
    <w:p w:rsidR="00A4229C" w:rsidRDefault="00A4229C" w:rsidP="00DB7902">
      <w:r>
        <w:t xml:space="preserve">Rankningar är en mätning av det förflutna. THE:s </w:t>
      </w:r>
      <w:r w:rsidR="00F708A6">
        <w:t>rankning för</w:t>
      </w:r>
      <w:r w:rsidR="00721CDA">
        <w:t xml:space="preserve"> </w:t>
      </w:r>
      <w:r>
        <w:t>20</w:t>
      </w:r>
      <w:r w:rsidR="00C52EA8">
        <w:t>20</w:t>
      </w:r>
      <w:r>
        <w:t xml:space="preserve"> baseras på inrapporterat data för 201</w:t>
      </w:r>
      <w:r w:rsidR="00C52EA8">
        <w:t>8</w:t>
      </w:r>
      <w:r>
        <w:t xml:space="preserve"> och publikationer publicerade 201</w:t>
      </w:r>
      <w:r w:rsidR="00C52EA8">
        <w:t>4</w:t>
      </w:r>
      <w:r>
        <w:t>-201</w:t>
      </w:r>
      <w:r w:rsidR="00C52EA8">
        <w:t xml:space="preserve">8 </w:t>
      </w:r>
      <w:r w:rsidR="001D76D0">
        <w:t>samt citeringar</w:t>
      </w:r>
      <w:r>
        <w:t xml:space="preserve"> för 201</w:t>
      </w:r>
      <w:r w:rsidR="00C52EA8">
        <w:t>9</w:t>
      </w:r>
      <w:r>
        <w:t>.</w:t>
      </w:r>
    </w:p>
    <w:p w:rsidR="00B05D3D" w:rsidRDefault="00B05D3D" w:rsidP="00DB7902"/>
    <w:p w:rsidR="00B05D3D" w:rsidRDefault="00B05D3D" w:rsidP="00DB7902">
      <w:r>
        <w:t>M</w:t>
      </w:r>
      <w:r w:rsidR="00B94591">
        <w:t xml:space="preserve">etodbeskrivningar hos både QS och THE har mycket övrigt att önska. Ingen har </w:t>
      </w:r>
      <w:r>
        <w:t xml:space="preserve">exakt </w:t>
      </w:r>
      <w:r w:rsidR="00B94591">
        <w:t>lyck</w:t>
      </w:r>
      <w:r w:rsidR="009165C8">
        <w:t>a</w:t>
      </w:r>
      <w:r w:rsidR="00B94591">
        <w:t xml:space="preserve">ts rekonstruera hur </w:t>
      </w:r>
      <w:r>
        <w:t>QS och THE</w:t>
      </w:r>
      <w:r w:rsidR="00B94591">
        <w:t xml:space="preserve"> </w:t>
      </w:r>
      <w:r w:rsidR="00AF2FA4">
        <w:t xml:space="preserve">räknar </w:t>
      </w:r>
      <w:r w:rsidR="00B94591">
        <w:t>fram sina result</w:t>
      </w:r>
      <w:r w:rsidR="00721CDA">
        <w:t>at</w:t>
      </w:r>
      <w:r w:rsidR="00B94591">
        <w:t xml:space="preserve"> </w:t>
      </w:r>
      <w:r w:rsidR="00152AE6">
        <w:t xml:space="preserve">(ARWU:s resultat går dock att rekonstruera). </w:t>
      </w:r>
    </w:p>
    <w:p w:rsidR="00B05D3D" w:rsidRDefault="00B05D3D" w:rsidP="00DB7902"/>
    <w:p w:rsidR="00861AB2" w:rsidRDefault="00861AB2" w:rsidP="00DB7902">
      <w:r>
        <w:t xml:space="preserve">Sammanfattningsvis baseras QS och THE på </w:t>
      </w:r>
      <w:r w:rsidR="00B05D3D">
        <w:t xml:space="preserve">1) </w:t>
      </w:r>
      <w:r>
        <w:t xml:space="preserve">ryktesmätningar, </w:t>
      </w:r>
      <w:r w:rsidR="00B05D3D">
        <w:t>2) bibliometri och 3)</w:t>
      </w:r>
      <w:r>
        <w:t xml:space="preserve"> </w:t>
      </w:r>
      <w:r w:rsidR="00B94591">
        <w:t>prestation</w:t>
      </w:r>
      <w:r w:rsidR="001D76D0">
        <w:t>-</w:t>
      </w:r>
      <w:r>
        <w:t xml:space="preserve"> och andelsmått:</w:t>
      </w:r>
    </w:p>
    <w:p w:rsidR="00861AB2" w:rsidRDefault="00861AB2" w:rsidP="00DB7902"/>
    <w:p w:rsidR="00861AB2" w:rsidRPr="00861AB2" w:rsidRDefault="00861AB2" w:rsidP="000405CB">
      <w:pPr>
        <w:pStyle w:val="Rubrik1"/>
      </w:pPr>
      <w:bookmarkStart w:id="12" w:name="_Toc53410000"/>
      <w:r w:rsidRPr="00861AB2">
        <w:t>Ryktesmätningar</w:t>
      </w:r>
      <w:bookmarkEnd w:id="12"/>
    </w:p>
    <w:p w:rsidR="00861AB2" w:rsidRDefault="00861AB2" w:rsidP="00DB7902">
      <w:r>
        <w:t>Det finns tre större ryktesmätningar: QS, THE och Clarivate</w:t>
      </w:r>
      <w:r w:rsidR="009E454F">
        <w:t xml:space="preserve"> (tidigare Thomson Reuters</w:t>
      </w:r>
      <w:r w:rsidR="00560711">
        <w:t xml:space="preserve">; denna </w:t>
      </w:r>
      <w:r w:rsidR="000875D1">
        <w:t>ryktesmätning används av US News &amp; Report samt tidigare av THE</w:t>
      </w:r>
      <w:r w:rsidR="009E454F">
        <w:t>)</w:t>
      </w:r>
      <w:r>
        <w:t xml:space="preserve">. </w:t>
      </w:r>
      <w:r w:rsidR="00B05D3D">
        <w:t>Denna typ av mätningar är varken bättre eller sämre än andra typer av marknadsundersökning</w:t>
      </w:r>
      <w:r w:rsidR="00EA6921">
        <w:t>ar</w:t>
      </w:r>
      <w:r w:rsidR="00B05D3D">
        <w:t xml:space="preserve">. </w:t>
      </w:r>
      <w:r>
        <w:t xml:space="preserve">För KTH:s del </w:t>
      </w:r>
      <w:r w:rsidR="00666DFA">
        <w:t>överensstämmer</w:t>
      </w:r>
      <w:r>
        <w:t xml:space="preserve"> </w:t>
      </w:r>
      <w:r w:rsidR="000875D1">
        <w:t xml:space="preserve">i överraskande hög grad </w:t>
      </w:r>
      <w:r>
        <w:t xml:space="preserve">resultaten mellan de </w:t>
      </w:r>
      <w:r w:rsidR="00666DFA">
        <w:t>olika</w:t>
      </w:r>
      <w:r>
        <w:t xml:space="preserve"> </w:t>
      </w:r>
      <w:r w:rsidR="00666DFA">
        <w:t>mätningarna</w:t>
      </w:r>
      <w:r>
        <w:t xml:space="preserve">. En </w:t>
      </w:r>
      <w:r w:rsidR="00666DFA">
        <w:t>skillnad</w:t>
      </w:r>
      <w:r>
        <w:t xml:space="preserve"> mellan mätningarna är att THE och Clarivate gör ett urval </w:t>
      </w:r>
      <w:r w:rsidR="00E33D19">
        <w:t>baserat på</w:t>
      </w:r>
      <w:r>
        <w:t xml:space="preserve"> adresser från Scopus respektive Web of Science medan QS skickar ut </w:t>
      </w:r>
      <w:r w:rsidR="00F53829">
        <w:t>webb</w:t>
      </w:r>
      <w:r>
        <w:t>enkäten till adress</w:t>
      </w:r>
      <w:r w:rsidR="00666DFA">
        <w:t>er</w:t>
      </w:r>
      <w:r>
        <w:t xml:space="preserve"> </w:t>
      </w:r>
      <w:r w:rsidR="00AA00A2">
        <w:t xml:space="preserve">de </w:t>
      </w:r>
      <w:r w:rsidR="00721CDA">
        <w:t>införskaffat</w:t>
      </w:r>
      <w:r>
        <w:t xml:space="preserve"> </w:t>
      </w:r>
      <w:r w:rsidR="00AA00A2">
        <w:t xml:space="preserve">sedan </w:t>
      </w:r>
      <w:r>
        <w:t>tidigare</w:t>
      </w:r>
      <w:r w:rsidR="00666DFA">
        <w:t xml:space="preserve"> eller som respektive universitet bifogat</w:t>
      </w:r>
      <w:r>
        <w:t>. Svarsfrekvense</w:t>
      </w:r>
      <w:r w:rsidR="00A9325B">
        <w:t>n är rimligen låg</w:t>
      </w:r>
      <w:r w:rsidR="00E33D19">
        <w:t xml:space="preserve"> för samtliga undersökning</w:t>
      </w:r>
      <w:r w:rsidR="00A4229C">
        <w:t>ar</w:t>
      </w:r>
      <w:r>
        <w:t xml:space="preserve">. </w:t>
      </w:r>
      <w:r w:rsidR="009D3B2B">
        <w:t xml:space="preserve">De som besvarar enkäterna kommer framför allt från rankade universitet, som sammantaget står för en </w:t>
      </w:r>
      <w:r w:rsidR="00AA00A2">
        <w:t>hög andel</w:t>
      </w:r>
      <w:r w:rsidR="009D3B2B">
        <w:t xml:space="preserve"> av världens totala publikat</w:t>
      </w:r>
      <w:r w:rsidR="009165C8">
        <w:t>i</w:t>
      </w:r>
      <w:r w:rsidR="009D3B2B">
        <w:t xml:space="preserve">onsvolym. </w:t>
      </w:r>
    </w:p>
    <w:p w:rsidR="005062BF" w:rsidRDefault="005062BF" w:rsidP="00DB7902"/>
    <w:p w:rsidR="005062BF" w:rsidRDefault="005062BF" w:rsidP="00DB7902">
      <w:r>
        <w:rPr>
          <w:rFonts w:eastAsia="Times New Roman"/>
          <w:noProof/>
          <w:lang w:eastAsia="sv-SE"/>
        </w:rPr>
        <w:drawing>
          <wp:inline distT="0" distB="0" distL="0" distR="0" wp14:anchorId="55B3C6C1" wp14:editId="6CDCBBBE">
            <wp:extent cx="5861050" cy="3191510"/>
            <wp:effectExtent l="0" t="0" r="635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ran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0274" cy="3261876"/>
                    </a:xfrm>
                    <a:prstGeom prst="rect">
                      <a:avLst/>
                    </a:prstGeom>
                  </pic:spPr>
                </pic:pic>
              </a:graphicData>
            </a:graphic>
          </wp:inline>
        </w:drawing>
      </w:r>
    </w:p>
    <w:p w:rsidR="00861AB2" w:rsidRDefault="00861AB2" w:rsidP="00DB7902"/>
    <w:p w:rsidR="005062BF" w:rsidRPr="005062BF" w:rsidRDefault="005062BF" w:rsidP="00DB7902">
      <w:pPr>
        <w:rPr>
          <w:i/>
        </w:rPr>
      </w:pPr>
      <w:r w:rsidRPr="005062BF">
        <w:rPr>
          <w:i/>
        </w:rPr>
        <w:t>Figur 1. Fördelning av röster utifrån världsdel och ämnesområde</w:t>
      </w:r>
      <w:r w:rsidR="00516B41">
        <w:rPr>
          <w:i/>
        </w:rPr>
        <w:t xml:space="preserve"> i THE:s ryktesmätning</w:t>
      </w:r>
    </w:p>
    <w:p w:rsidR="005062BF" w:rsidRDefault="005062BF" w:rsidP="00DB7902"/>
    <w:p w:rsidR="00DC7FAD" w:rsidRPr="00DC7FAD" w:rsidRDefault="00B555B5" w:rsidP="00DC7FAD">
      <w:pPr>
        <w:rPr>
          <w:lang w:val="en-US"/>
        </w:rPr>
      </w:pPr>
      <w:r w:rsidRPr="00B555B5">
        <w:rPr>
          <w:shd w:val="clear" w:color="auto" w:fill="FFFFFF"/>
        </w:rPr>
        <w:t>Sett till fördelningen av röster</w:t>
      </w:r>
      <w:r w:rsidR="00DC7FAD" w:rsidRPr="00B555B5">
        <w:rPr>
          <w:shd w:val="clear" w:color="auto" w:fill="FFFFFF"/>
        </w:rPr>
        <w:t xml:space="preserve"> hos THE </w:t>
      </w:r>
      <w:r w:rsidRPr="00B555B5">
        <w:rPr>
          <w:shd w:val="clear" w:color="auto" w:fill="FFFFFF"/>
        </w:rPr>
        <w:t>utgör</w:t>
      </w:r>
      <w:r w:rsidR="00DC7FAD" w:rsidRPr="00B555B5">
        <w:rPr>
          <w:shd w:val="clear" w:color="auto" w:fill="FFFFFF"/>
        </w:rPr>
        <w:t xml:space="preserve"> Engineering and technology 18,1</w:t>
      </w:r>
      <w:r w:rsidRPr="00B555B5">
        <w:rPr>
          <w:shd w:val="clear" w:color="auto" w:fill="FFFFFF"/>
        </w:rPr>
        <w:t xml:space="preserve"> procent av </w:t>
      </w:r>
      <w:r>
        <w:rPr>
          <w:shd w:val="clear" w:color="auto" w:fill="FFFFFF"/>
        </w:rPr>
        <w:t>det totala antalet</w:t>
      </w:r>
      <w:r w:rsidR="00DC7FAD" w:rsidRPr="00B555B5">
        <w:rPr>
          <w:shd w:val="clear" w:color="auto" w:fill="FFFFFF"/>
        </w:rPr>
        <w:t>, Physical sciences (15,6 procent), Clinical and health (13,2 procent)</w:t>
      </w:r>
      <w:r w:rsidRPr="00B555B5">
        <w:rPr>
          <w:shd w:val="clear" w:color="auto" w:fill="FFFFFF"/>
        </w:rPr>
        <w:t xml:space="preserve"> och</w:t>
      </w:r>
      <w:r w:rsidR="00DC7FAD" w:rsidRPr="00B555B5">
        <w:rPr>
          <w:shd w:val="clear" w:color="auto" w:fill="FFFFFF"/>
        </w:rPr>
        <w:t xml:space="preserve"> Life sciences (12,8 procent) </w:t>
      </w:r>
      <w:r w:rsidRPr="00B555B5">
        <w:rPr>
          <w:shd w:val="clear" w:color="auto" w:fill="FFFFFF"/>
        </w:rPr>
        <w:t>samt</w:t>
      </w:r>
      <w:r w:rsidR="00DC7FAD" w:rsidRPr="00B555B5">
        <w:rPr>
          <w:shd w:val="clear" w:color="auto" w:fill="FFFFFF"/>
        </w:rPr>
        <w:t xml:space="preserve"> Computer science (10,4 procent). </w:t>
      </w:r>
      <w:r w:rsidR="00DC7FAD">
        <w:rPr>
          <w:shd w:val="clear" w:color="auto" w:fill="FFFFFF"/>
          <w:lang w:val="en-US"/>
        </w:rPr>
        <w:t>Resterande svar härrör från</w:t>
      </w:r>
      <w:r w:rsidR="00DC7FAD" w:rsidRPr="00DC7FAD">
        <w:rPr>
          <w:shd w:val="clear" w:color="auto" w:fill="FFFFFF"/>
          <w:lang w:val="en-US"/>
        </w:rPr>
        <w:t xml:space="preserve"> </w:t>
      </w:r>
      <w:r w:rsidR="00DC7FAD">
        <w:rPr>
          <w:shd w:val="clear" w:color="auto" w:fill="FFFFFF"/>
          <w:lang w:val="en-US"/>
        </w:rPr>
        <w:t>B</w:t>
      </w:r>
      <w:r w:rsidR="00DC7FAD" w:rsidRPr="00DC7FAD">
        <w:rPr>
          <w:shd w:val="clear" w:color="auto" w:fill="FFFFFF"/>
          <w:lang w:val="en-US"/>
        </w:rPr>
        <w:t>usiness and economics (</w:t>
      </w:r>
      <w:r w:rsidR="00DC7FAD">
        <w:rPr>
          <w:shd w:val="clear" w:color="auto" w:fill="FFFFFF"/>
          <w:lang w:val="en-US"/>
        </w:rPr>
        <w:t>9 procent</w:t>
      </w:r>
      <w:r w:rsidR="00DC7FAD" w:rsidRPr="00DC7FAD">
        <w:rPr>
          <w:shd w:val="clear" w:color="auto" w:fill="FFFFFF"/>
          <w:lang w:val="en-US"/>
        </w:rPr>
        <w:t xml:space="preserve">), </w:t>
      </w:r>
      <w:r w:rsidR="00DC7FAD">
        <w:rPr>
          <w:shd w:val="clear" w:color="auto" w:fill="FFFFFF"/>
          <w:lang w:val="en-US"/>
        </w:rPr>
        <w:t>S</w:t>
      </w:r>
      <w:r w:rsidR="00DC7FAD" w:rsidRPr="00DC7FAD">
        <w:rPr>
          <w:shd w:val="clear" w:color="auto" w:fill="FFFFFF"/>
          <w:lang w:val="en-US"/>
        </w:rPr>
        <w:t>ocial sciences (7</w:t>
      </w:r>
      <w:r w:rsidR="00DC7FAD">
        <w:rPr>
          <w:shd w:val="clear" w:color="auto" w:fill="FFFFFF"/>
          <w:lang w:val="en-US"/>
        </w:rPr>
        <w:t>,</w:t>
      </w:r>
      <w:r w:rsidR="00DC7FAD" w:rsidRPr="00DC7FAD">
        <w:rPr>
          <w:shd w:val="clear" w:color="auto" w:fill="FFFFFF"/>
          <w:lang w:val="en-US"/>
        </w:rPr>
        <w:t xml:space="preserve">6 </w:t>
      </w:r>
      <w:r w:rsidR="00DC7FAD">
        <w:rPr>
          <w:shd w:val="clear" w:color="auto" w:fill="FFFFFF"/>
          <w:lang w:val="en-US"/>
        </w:rPr>
        <w:t>procent</w:t>
      </w:r>
      <w:r w:rsidR="00DC7FAD" w:rsidRPr="00DC7FAD">
        <w:rPr>
          <w:shd w:val="clear" w:color="auto" w:fill="FFFFFF"/>
          <w:lang w:val="en-US"/>
        </w:rPr>
        <w:t xml:space="preserve">), </w:t>
      </w:r>
      <w:r w:rsidR="00DC7FAD">
        <w:rPr>
          <w:shd w:val="clear" w:color="auto" w:fill="FFFFFF"/>
          <w:lang w:val="en-US"/>
        </w:rPr>
        <w:t>A</w:t>
      </w:r>
      <w:r w:rsidR="00DC7FAD" w:rsidRPr="00DC7FAD">
        <w:rPr>
          <w:shd w:val="clear" w:color="auto" w:fill="FFFFFF"/>
          <w:lang w:val="en-US"/>
        </w:rPr>
        <w:t>rts and humanities (7</w:t>
      </w:r>
      <w:r w:rsidR="00DC7FAD">
        <w:rPr>
          <w:shd w:val="clear" w:color="auto" w:fill="FFFFFF"/>
          <w:lang w:val="en-US"/>
        </w:rPr>
        <w:t>,</w:t>
      </w:r>
      <w:r w:rsidR="00DC7FAD" w:rsidRPr="00DC7FAD">
        <w:rPr>
          <w:shd w:val="clear" w:color="auto" w:fill="FFFFFF"/>
          <w:lang w:val="en-US"/>
        </w:rPr>
        <w:t xml:space="preserve">5 </w:t>
      </w:r>
      <w:r w:rsidR="00DC7FAD">
        <w:rPr>
          <w:shd w:val="clear" w:color="auto" w:fill="FFFFFF"/>
          <w:lang w:val="en-US"/>
        </w:rPr>
        <w:t>procent</w:t>
      </w:r>
      <w:r w:rsidR="00DC7FAD" w:rsidRPr="00DC7FAD">
        <w:rPr>
          <w:shd w:val="clear" w:color="auto" w:fill="FFFFFF"/>
          <w:lang w:val="en-US"/>
        </w:rPr>
        <w:t xml:space="preserve">), </w:t>
      </w:r>
      <w:r w:rsidR="00DC7FAD">
        <w:rPr>
          <w:shd w:val="clear" w:color="auto" w:fill="FFFFFF"/>
          <w:lang w:val="en-US"/>
        </w:rPr>
        <w:t>E</w:t>
      </w:r>
      <w:r w:rsidR="00DC7FAD" w:rsidRPr="00DC7FAD">
        <w:rPr>
          <w:shd w:val="clear" w:color="auto" w:fill="FFFFFF"/>
          <w:lang w:val="en-US"/>
        </w:rPr>
        <w:t>ducation (2</w:t>
      </w:r>
      <w:r w:rsidR="00DC7FAD">
        <w:rPr>
          <w:shd w:val="clear" w:color="auto" w:fill="FFFFFF"/>
          <w:lang w:val="en-US"/>
        </w:rPr>
        <w:t>,</w:t>
      </w:r>
      <w:r w:rsidR="00DC7FAD" w:rsidRPr="00DC7FAD">
        <w:rPr>
          <w:shd w:val="clear" w:color="auto" w:fill="FFFFFF"/>
          <w:lang w:val="en-US"/>
        </w:rPr>
        <w:t xml:space="preserve">5 </w:t>
      </w:r>
      <w:r w:rsidR="00DC7FAD">
        <w:rPr>
          <w:shd w:val="clear" w:color="auto" w:fill="FFFFFF"/>
          <w:lang w:val="en-US"/>
        </w:rPr>
        <w:t>procent</w:t>
      </w:r>
      <w:r w:rsidR="00DC7FAD" w:rsidRPr="00DC7FAD">
        <w:rPr>
          <w:shd w:val="clear" w:color="auto" w:fill="FFFFFF"/>
          <w:lang w:val="en-US"/>
        </w:rPr>
        <w:t xml:space="preserve">), </w:t>
      </w:r>
      <w:r w:rsidR="00DC7FAD">
        <w:rPr>
          <w:shd w:val="clear" w:color="auto" w:fill="FFFFFF"/>
          <w:lang w:val="en-US"/>
        </w:rPr>
        <w:t>P</w:t>
      </w:r>
      <w:r w:rsidR="00DC7FAD" w:rsidRPr="00DC7FAD">
        <w:rPr>
          <w:shd w:val="clear" w:color="auto" w:fill="FFFFFF"/>
          <w:lang w:val="en-US"/>
        </w:rPr>
        <w:t>sychology (2</w:t>
      </w:r>
      <w:r w:rsidR="00DC7FAD">
        <w:rPr>
          <w:shd w:val="clear" w:color="auto" w:fill="FFFFFF"/>
          <w:lang w:val="en-US"/>
        </w:rPr>
        <w:t>,</w:t>
      </w:r>
      <w:r w:rsidR="00DC7FAD" w:rsidRPr="00DC7FAD">
        <w:rPr>
          <w:shd w:val="clear" w:color="auto" w:fill="FFFFFF"/>
          <w:lang w:val="en-US"/>
        </w:rPr>
        <w:t xml:space="preserve">3 </w:t>
      </w:r>
      <w:r w:rsidR="00DC7FAD">
        <w:rPr>
          <w:shd w:val="clear" w:color="auto" w:fill="FFFFFF"/>
          <w:lang w:val="en-US"/>
        </w:rPr>
        <w:t>procent</w:t>
      </w:r>
      <w:r w:rsidR="00DC7FAD" w:rsidRPr="00DC7FAD">
        <w:rPr>
          <w:shd w:val="clear" w:color="auto" w:fill="FFFFFF"/>
          <w:lang w:val="en-US"/>
        </w:rPr>
        <w:t xml:space="preserve">) </w:t>
      </w:r>
      <w:r w:rsidR="005F1E7D">
        <w:rPr>
          <w:shd w:val="clear" w:color="auto" w:fill="FFFFFF"/>
          <w:lang w:val="en-US"/>
        </w:rPr>
        <w:t>och</w:t>
      </w:r>
      <w:r w:rsidR="00DC7FAD" w:rsidRPr="00DC7FAD">
        <w:rPr>
          <w:shd w:val="clear" w:color="auto" w:fill="FFFFFF"/>
          <w:lang w:val="en-US"/>
        </w:rPr>
        <w:t xml:space="preserve"> </w:t>
      </w:r>
      <w:r w:rsidR="00DC7FAD">
        <w:rPr>
          <w:shd w:val="clear" w:color="auto" w:fill="FFFFFF"/>
          <w:lang w:val="en-US"/>
        </w:rPr>
        <w:t>L</w:t>
      </w:r>
      <w:r w:rsidR="00DC7FAD" w:rsidRPr="00DC7FAD">
        <w:rPr>
          <w:shd w:val="clear" w:color="auto" w:fill="FFFFFF"/>
          <w:lang w:val="en-US"/>
        </w:rPr>
        <w:t xml:space="preserve">aw (1 </w:t>
      </w:r>
      <w:r w:rsidR="00DC7FAD">
        <w:rPr>
          <w:shd w:val="clear" w:color="auto" w:fill="FFFFFF"/>
          <w:lang w:val="en-US"/>
        </w:rPr>
        <w:t>procent</w:t>
      </w:r>
      <w:r w:rsidR="00DC7FAD" w:rsidRPr="00DC7FAD">
        <w:rPr>
          <w:shd w:val="clear" w:color="auto" w:fill="FFFFFF"/>
          <w:lang w:val="en-US"/>
        </w:rPr>
        <w:t>).</w:t>
      </w:r>
    </w:p>
    <w:p w:rsidR="00DC7FAD" w:rsidRPr="00DC7FAD" w:rsidRDefault="00DC7FAD" w:rsidP="00DB7902">
      <w:pPr>
        <w:rPr>
          <w:lang w:val="en-US"/>
        </w:rPr>
      </w:pPr>
    </w:p>
    <w:p w:rsidR="00A4229C" w:rsidRDefault="00861AB2" w:rsidP="00DB7902">
      <w:r>
        <w:t xml:space="preserve">Samtliga </w:t>
      </w:r>
      <w:r w:rsidR="00A4229C">
        <w:t xml:space="preserve">av dessa </w:t>
      </w:r>
      <w:r w:rsidR="00F53829">
        <w:t>webb</w:t>
      </w:r>
      <w:r>
        <w:t>enkäter har ungefär samma uppl</w:t>
      </w:r>
      <w:r w:rsidR="00D26FB4">
        <w:t>ägg: respondenten får fylla i 15</w:t>
      </w:r>
      <w:r>
        <w:t xml:space="preserve">-30 universitet som han eller hon anser är bäst inom sitt eget ämnesområde. I THE och </w:t>
      </w:r>
      <w:r w:rsidR="00666DFA">
        <w:t>Clarivate</w:t>
      </w:r>
      <w:r>
        <w:t xml:space="preserve"> får respondenten a</w:t>
      </w:r>
      <w:r w:rsidR="00AA00A2">
        <w:t>nge</w:t>
      </w:r>
      <w:r w:rsidR="00D26FB4">
        <w:t xml:space="preserve"> 15</w:t>
      </w:r>
      <w:r>
        <w:t>-</w:t>
      </w:r>
      <w:r w:rsidR="00D26FB4">
        <w:t>20</w:t>
      </w:r>
      <w:r>
        <w:t xml:space="preserve"> universitet som h</w:t>
      </w:r>
      <w:r w:rsidR="00B01924">
        <w:t xml:space="preserve">en </w:t>
      </w:r>
      <w:r>
        <w:t xml:space="preserve">tycker är </w:t>
      </w:r>
      <w:r w:rsidR="00516B41">
        <w:t>mest framstående</w:t>
      </w:r>
      <w:r>
        <w:t xml:space="preserve"> inom forskning </w:t>
      </w:r>
      <w:r>
        <w:lastRenderedPageBreak/>
        <w:t xml:space="preserve">respektive utbildning. </w:t>
      </w:r>
      <w:r w:rsidR="0065674D">
        <w:t xml:space="preserve">I QS får respondenten ange de 30 bästa universiteten i världen och de tio bästa nationellt. </w:t>
      </w:r>
    </w:p>
    <w:p w:rsidR="009D3B2B" w:rsidRDefault="009D3B2B" w:rsidP="00DB7902"/>
    <w:p w:rsidR="009D3B2B" w:rsidRDefault="009D3B2B" w:rsidP="00DB7902">
      <w:r>
        <w:t xml:space="preserve">I QS enkät Employers reputation skickas en enkät till arbetsgivare, där de får ange </w:t>
      </w:r>
      <w:r w:rsidR="001A7188">
        <w:t xml:space="preserve">varifrån vilka universitets alumner </w:t>
      </w:r>
      <w:r>
        <w:t>de</w:t>
      </w:r>
      <w:r w:rsidR="007B629F">
        <w:t xml:space="preserve"> helst rekryterar sin personal.</w:t>
      </w:r>
    </w:p>
    <w:p w:rsidR="00A4229C" w:rsidRDefault="00A4229C" w:rsidP="00DB7902"/>
    <w:p w:rsidR="00861AB2" w:rsidRPr="00E33D19" w:rsidRDefault="00EA6921" w:rsidP="00DB7902">
      <w:r w:rsidRPr="00E33D19">
        <w:t xml:space="preserve">KTH återfinns i </w:t>
      </w:r>
      <w:r w:rsidR="00721CDA">
        <w:t>ryktesmätnings</w:t>
      </w:r>
      <w:r w:rsidRPr="00E33D19">
        <w:t>databaserna</w:t>
      </w:r>
      <w:r w:rsidR="009165C8">
        <w:t>, varifrån man får välja det universitet man vill rösta på,</w:t>
      </w:r>
      <w:r w:rsidRPr="00E33D19">
        <w:t xml:space="preserve"> </w:t>
      </w:r>
      <w:r w:rsidR="00E33D19" w:rsidRPr="00E33D19">
        <w:t xml:space="preserve">under namnet </w:t>
      </w:r>
      <w:r w:rsidRPr="00E33D19">
        <w:t>Royal Ins</w:t>
      </w:r>
      <w:r w:rsidR="00721CDA">
        <w:t>t</w:t>
      </w:r>
      <w:r w:rsidRPr="00E33D19">
        <w:t>itute of Technology, KTH Royal Institute of Technology och KTH</w:t>
      </w:r>
      <w:r w:rsidR="000875D1">
        <w:t xml:space="preserve"> samt Kungliga Tekniska h</w:t>
      </w:r>
      <w:r w:rsidR="00F53829">
        <w:t>ö</w:t>
      </w:r>
      <w:r w:rsidR="000875D1">
        <w:t>gskolan</w:t>
      </w:r>
      <w:r w:rsidRPr="00E33D19">
        <w:t xml:space="preserve">. </w:t>
      </w:r>
    </w:p>
    <w:p w:rsidR="00861AB2" w:rsidRPr="00E33D19" w:rsidRDefault="00861AB2" w:rsidP="00DB7902"/>
    <w:p w:rsidR="009704B6" w:rsidRDefault="00861AB2" w:rsidP="00DB7902">
      <w:r>
        <w:t xml:space="preserve">Problemet med denna typ av mätningar är att de 80 högst rankade universiteten i praktiken får </w:t>
      </w:r>
      <w:r w:rsidR="00B01924">
        <w:t>en klar majoritet</w:t>
      </w:r>
      <w:r w:rsidR="00E33D19">
        <w:t xml:space="preserve"> av</w:t>
      </w:r>
      <w:r>
        <w:t xml:space="preserve"> rösterna. </w:t>
      </w:r>
      <w:r w:rsidR="00E33D19">
        <w:t>R</w:t>
      </w:r>
      <w:r w:rsidR="00730CC3">
        <w:t>espondenten</w:t>
      </w:r>
      <w:r w:rsidR="009704B6">
        <w:t xml:space="preserve"> börjar</w:t>
      </w:r>
      <w:r w:rsidR="00730CC3">
        <w:t xml:space="preserve"> rimligen med att fylla i MIT, Caltech, ETH</w:t>
      </w:r>
      <w:r w:rsidR="00E33D19">
        <w:t>, EPFL, Nanyang, Delft, Oxford, Cambridge, Stamford</w:t>
      </w:r>
      <w:r w:rsidR="00F53829">
        <w:t>, Imperial College</w:t>
      </w:r>
      <w:r w:rsidR="00730CC3">
        <w:t xml:space="preserve"> etc. </w:t>
      </w:r>
      <w:r>
        <w:t>Redan vi</w:t>
      </w:r>
      <w:r w:rsidR="00721CDA">
        <w:t>d</w:t>
      </w:r>
      <w:r>
        <w:t xml:space="preserve"> placering </w:t>
      </w:r>
      <w:r w:rsidR="00721CDA">
        <w:t>80</w:t>
      </w:r>
      <w:r>
        <w:t xml:space="preserve"> blir det mycket jämnt och när man når KTH:s nivå </w:t>
      </w:r>
      <w:r w:rsidR="009704B6">
        <w:t>med</w:t>
      </w:r>
      <w:r>
        <w:t xml:space="preserve"> en ryktesplacering på </w:t>
      </w:r>
      <w:r w:rsidR="0060294D">
        <w:t>190-213</w:t>
      </w:r>
      <w:r>
        <w:t xml:space="preserve"> </w:t>
      </w:r>
      <w:r w:rsidR="00943AD0">
        <w:t>är det ännu jämnare. E</w:t>
      </w:r>
      <w:r w:rsidR="00E33D19">
        <w:t>xempelvis</w:t>
      </w:r>
      <w:r>
        <w:t xml:space="preserve"> </w:t>
      </w:r>
      <w:r w:rsidR="00943AD0">
        <w:t xml:space="preserve">utgör </w:t>
      </w:r>
      <w:r>
        <w:t>antalet röste</w:t>
      </w:r>
      <w:r w:rsidR="00730CC3">
        <w:t>r</w:t>
      </w:r>
      <w:r>
        <w:t xml:space="preserve"> för KTH</w:t>
      </w:r>
      <w:r w:rsidR="00730CC3">
        <w:t>:s del</w:t>
      </w:r>
      <w:r>
        <w:t xml:space="preserve"> i THE</w:t>
      </w:r>
      <w:r w:rsidR="00666DFA">
        <w:t xml:space="preserve"> för ett år</w:t>
      </w:r>
      <w:r>
        <w:t xml:space="preserve"> drygt 1</w:t>
      </w:r>
      <w:r w:rsidR="0060294D">
        <w:t>10</w:t>
      </w:r>
      <w:r>
        <w:t xml:space="preserve"> </w:t>
      </w:r>
      <w:r w:rsidR="009704B6">
        <w:t>stycken</w:t>
      </w:r>
      <w:r>
        <w:t xml:space="preserve">. </w:t>
      </w:r>
      <w:r w:rsidR="00A77749">
        <w:t>MIT f</w:t>
      </w:r>
      <w:r w:rsidR="001D6200">
        <w:t>ick som jämförelse 65</w:t>
      </w:r>
      <w:r w:rsidR="0060294D">
        <w:t>92</w:t>
      </w:r>
      <w:r w:rsidR="001D6200">
        <w:t xml:space="preserve"> röster.</w:t>
      </w:r>
    </w:p>
    <w:p w:rsidR="009704B6" w:rsidRDefault="009704B6" w:rsidP="00DB7902"/>
    <w:p w:rsidR="00861AB2" w:rsidRDefault="00861AB2" w:rsidP="00DB7902">
      <w:r>
        <w:t xml:space="preserve">Med tanke på att ryktesmätningarna är högt viktade </w:t>
      </w:r>
      <w:r w:rsidR="00730CC3">
        <w:t xml:space="preserve">i både QS och THE </w:t>
      </w:r>
      <w:r>
        <w:t xml:space="preserve">och </w:t>
      </w:r>
      <w:r w:rsidR="00E33D19">
        <w:t xml:space="preserve">sålunda </w:t>
      </w:r>
      <w:r>
        <w:t xml:space="preserve">ger mycket poäng kan en skillnad från </w:t>
      </w:r>
      <w:r w:rsidR="00AA00A2">
        <w:t>ett år till ett annat</w:t>
      </w:r>
      <w:r w:rsidR="00A9325B">
        <w:t xml:space="preserve"> bero</w:t>
      </w:r>
      <w:r>
        <w:t xml:space="preserve"> på endast ett tiotal röster </w:t>
      </w:r>
      <w:r w:rsidR="00A9325B">
        <w:t xml:space="preserve">och </w:t>
      </w:r>
      <w:r>
        <w:t xml:space="preserve">för KTH:s del resultera i ett tiotal placeringar. </w:t>
      </w:r>
      <w:r w:rsidR="002A33F7">
        <w:t>Sett till resultatet för THE World Reputation Rankings (som är detsamma som det sammantagna värdet av ryktesindikatorerna i THE World University Rankings) är resultatet instabilt, med flera universitet som kommer upp och andra faller ur topp 100 jämfört från år till år.</w:t>
      </w:r>
    </w:p>
    <w:p w:rsidR="00FB20DE" w:rsidRDefault="00FB20DE" w:rsidP="00DB7902"/>
    <w:p w:rsidR="00FB20DE" w:rsidRDefault="00FB20DE" w:rsidP="00DB7902">
      <w:r>
        <w:t>Både QS</w:t>
      </w:r>
      <w:r w:rsidR="00E33D19">
        <w:t>, Clarivate</w:t>
      </w:r>
      <w:r>
        <w:t xml:space="preserve"> och THE </w:t>
      </w:r>
      <w:r w:rsidR="00666DFA">
        <w:t>använder</w:t>
      </w:r>
      <w:r>
        <w:t xml:space="preserve"> </w:t>
      </w:r>
      <w:r w:rsidR="00666DFA">
        <w:t>olika</w:t>
      </w:r>
      <w:r>
        <w:t xml:space="preserve"> viktning och räknar samman resultatet för flera år.</w:t>
      </w:r>
      <w:r w:rsidR="00730CC3">
        <w:t xml:space="preserve"> Detta har varierat mellan åren. Det är oklart hur de</w:t>
      </w:r>
      <w:r>
        <w:t xml:space="preserve"> </w:t>
      </w:r>
      <w:r w:rsidR="00E33D19">
        <w:t>går tillväga</w:t>
      </w:r>
      <w:r w:rsidR="00730CC3">
        <w:t xml:space="preserve"> och </w:t>
      </w:r>
      <w:r w:rsidR="00E33D19">
        <w:t xml:space="preserve">det </w:t>
      </w:r>
      <w:r w:rsidR="00730CC3">
        <w:t>hör till undantaget att</w:t>
      </w:r>
      <w:r w:rsidR="00666DFA">
        <w:t xml:space="preserve"> smärre metodologiska förändringar</w:t>
      </w:r>
      <w:r>
        <w:t xml:space="preserve"> </w:t>
      </w:r>
      <w:r w:rsidR="00666DFA">
        <w:t>redovisas</w:t>
      </w:r>
      <w:r>
        <w:t xml:space="preserve"> på </w:t>
      </w:r>
      <w:r w:rsidR="00730CC3">
        <w:t xml:space="preserve">respektive </w:t>
      </w:r>
      <w:r w:rsidR="00995B53">
        <w:t>leverantörs</w:t>
      </w:r>
      <w:r>
        <w:t xml:space="preserve"> webbsida. </w:t>
      </w:r>
    </w:p>
    <w:p w:rsidR="00861AB2" w:rsidRPr="00FB20DE" w:rsidRDefault="00861AB2" w:rsidP="00DB7902"/>
    <w:p w:rsidR="00861AB2" w:rsidRPr="00FB20DE" w:rsidRDefault="00FB20DE" w:rsidP="000405CB">
      <w:pPr>
        <w:pStyle w:val="Rubrik2"/>
      </w:pPr>
      <w:bookmarkStart w:id="13" w:name="_Toc53410001"/>
      <w:r w:rsidRPr="00FB20DE">
        <w:t>Bibliometri</w:t>
      </w:r>
      <w:bookmarkEnd w:id="13"/>
    </w:p>
    <w:p w:rsidR="00730CC3" w:rsidRDefault="00263F8B" w:rsidP="00DB7902">
      <w:r>
        <w:t xml:space="preserve">Både QS och THE:s </w:t>
      </w:r>
      <w:r w:rsidR="00666DFA">
        <w:t>bibliometriska mätningar baseras på data från Scopus databasen</w:t>
      </w:r>
      <w:r w:rsidR="00730CC3">
        <w:t xml:space="preserve"> som ägs av Elsevier</w:t>
      </w:r>
      <w:r w:rsidR="00666DFA">
        <w:t xml:space="preserve">. I THE </w:t>
      </w:r>
      <w:r w:rsidR="00DB7902" w:rsidRPr="00DB7902">
        <w:t xml:space="preserve">måste lärosätet </w:t>
      </w:r>
      <w:r w:rsidR="00666DFA">
        <w:t xml:space="preserve">sammantaget </w:t>
      </w:r>
      <w:r w:rsidR="00DB7902" w:rsidRPr="00DB7902">
        <w:t xml:space="preserve">under en femårsperiod komma upp i </w:t>
      </w:r>
      <w:r w:rsidR="00666DFA">
        <w:t>totalt 1000 artiklar och</w:t>
      </w:r>
      <w:r w:rsidR="00730CC3">
        <w:t xml:space="preserve"> </w:t>
      </w:r>
      <w:r w:rsidR="00DB7902" w:rsidRPr="00DB7902">
        <w:t>recensioner i Scopus och minst ha 150 publikationer under ett enda år</w:t>
      </w:r>
      <w:r w:rsidR="00721CDA">
        <w:t xml:space="preserve"> (KTH överträffar detta med råge under ett enda år)</w:t>
      </w:r>
      <w:r w:rsidR="00DB7902" w:rsidRPr="00DB7902">
        <w:t xml:space="preserve">. </w:t>
      </w:r>
      <w:r w:rsidR="00DA58D9">
        <w:t xml:space="preserve">Tyvärr tvingas man konstatera att detta i </w:t>
      </w:r>
      <w:r w:rsidR="00730CC3">
        <w:t xml:space="preserve"> realite</w:t>
      </w:r>
      <w:r w:rsidR="00E33D19">
        <w:t>te</w:t>
      </w:r>
      <w:r w:rsidR="00730CC3">
        <w:t xml:space="preserve">n </w:t>
      </w:r>
      <w:r w:rsidR="00DA58D9">
        <w:t xml:space="preserve">är </w:t>
      </w:r>
      <w:r w:rsidR="00730CC3">
        <w:t xml:space="preserve">mycket lågt, </w:t>
      </w:r>
      <w:r w:rsidR="00DB7902" w:rsidRPr="00DB7902">
        <w:t xml:space="preserve">vilket medför en del metodologiska problem. Ett universitet med endast ett fåtal artiklar och recensioner i Scopus, och precis klarar sig över </w:t>
      </w:r>
      <w:r w:rsidR="00DA58D9">
        <w:t>gränsvärdet</w:t>
      </w:r>
      <w:r w:rsidR="00DB7902" w:rsidRPr="00DB7902">
        <w:t xml:space="preserve">, kan få mycket höga värden tack vare ett fåtal högciterade pek som vanligen har flera hundra medförfattare från andra universitet. För att minska effekterna av detta använder man fraktionerad räkning i de fall där en publikation har mer än 1000 författare (exempelvis Higgspartikeln) samt att varje universitet får fem procent av den poäng som tillkommit lärosätet om man som tidigare använt sig av heltalsräkning. </w:t>
      </w:r>
      <w:r w:rsidR="00E33D19">
        <w:t>Detta har inte fungerat helt tillfre</w:t>
      </w:r>
      <w:r w:rsidR="009704B6">
        <w:t>d</w:t>
      </w:r>
      <w:r w:rsidR="00E33D19">
        <w:t>ställa</w:t>
      </w:r>
      <w:r w:rsidR="009704B6">
        <w:t>nde</w:t>
      </w:r>
      <w:r w:rsidR="00E33D19">
        <w:t xml:space="preserve">. </w:t>
      </w:r>
    </w:p>
    <w:p w:rsidR="009704B6" w:rsidRDefault="009704B6" w:rsidP="00DB7902"/>
    <w:p w:rsidR="00666DFA" w:rsidRDefault="00B94591" w:rsidP="00DB7902">
      <w:r>
        <w:t xml:space="preserve">QS använder sig av ett </w:t>
      </w:r>
      <w:r w:rsidR="001D76D0">
        <w:t>sex</w:t>
      </w:r>
      <w:r>
        <w:t>års</w:t>
      </w:r>
      <w:r w:rsidR="00E33D19">
        <w:t>fönster för publikationer</w:t>
      </w:r>
      <w:r w:rsidR="00DA58D9">
        <w:t xml:space="preserve"> och inkluderar samtliga publikationer som finns i Scopus</w:t>
      </w:r>
      <w:r w:rsidR="002A33F7">
        <w:t xml:space="preserve"> bibliometriska databas</w:t>
      </w:r>
      <w:r w:rsidR="00E33D19">
        <w:t>.</w:t>
      </w:r>
    </w:p>
    <w:p w:rsidR="009704B6" w:rsidRDefault="009704B6" w:rsidP="00DB7902"/>
    <w:p w:rsidR="000875D1" w:rsidRDefault="00666DFA" w:rsidP="00DB7902">
      <w:r>
        <w:t>Både QS och THE fältnormerar</w:t>
      </w:r>
      <w:r w:rsidR="00730CC3">
        <w:t xml:space="preserve">, dock oklart hur, samt använder </w:t>
      </w:r>
      <w:r w:rsidR="00E33D19">
        <w:t>heltalsräkning (i KTH:s interna</w:t>
      </w:r>
      <w:r w:rsidR="001D76D0">
        <w:t xml:space="preserve"> uppföljning</w:t>
      </w:r>
      <w:r w:rsidR="00730CC3">
        <w:t xml:space="preserve"> används frakt</w:t>
      </w:r>
      <w:r w:rsidR="009704B6">
        <w:t>i</w:t>
      </w:r>
      <w:r w:rsidR="00730CC3">
        <w:t>onaliserad räkning</w:t>
      </w:r>
      <w:r w:rsidR="00560711">
        <w:t>,</w:t>
      </w:r>
      <w:r w:rsidR="00730CC3">
        <w:t xml:space="preserve"> vilket är metodiskt </w:t>
      </w:r>
      <w:r w:rsidR="000875D1">
        <w:t>förnuftigare, då världsgenomsnittet är ett och att en artikel alltid är en artikel. Vid flertalsräkning förvandlas en artikel med 20 författare till 20 artiklar</w:t>
      </w:r>
      <w:r w:rsidR="00A9325B">
        <w:t xml:space="preserve"> och att världsgenomsnittet </w:t>
      </w:r>
      <w:r w:rsidR="00560711">
        <w:t>blir</w:t>
      </w:r>
      <w:r w:rsidR="00A9325B">
        <w:t xml:space="preserve"> högre än ett</w:t>
      </w:r>
      <w:r w:rsidR="00730CC3">
        <w:t>)</w:t>
      </w:r>
      <w:r>
        <w:t xml:space="preserve">. </w:t>
      </w:r>
      <w:r w:rsidR="00E33D19">
        <w:t xml:space="preserve">Både </w:t>
      </w:r>
      <w:r w:rsidR="00B94591">
        <w:t>QS och THE gör sina beräkningar själva</w:t>
      </w:r>
      <w:r w:rsidR="00432511">
        <w:t xml:space="preserve"> och exakt hur de går tillväga redovisas inte</w:t>
      </w:r>
      <w:r w:rsidR="00B94591">
        <w:t xml:space="preserve">. </w:t>
      </w:r>
    </w:p>
    <w:p w:rsidR="000875D1" w:rsidRDefault="000875D1" w:rsidP="00DB7902"/>
    <w:p w:rsidR="00DB7902" w:rsidRDefault="00B94591" w:rsidP="00DB7902">
      <w:r>
        <w:t xml:space="preserve">I THE finns </w:t>
      </w:r>
      <w:r w:rsidR="009704B6">
        <w:t>även olika former av viktningar</w:t>
      </w:r>
      <w:r>
        <w:t xml:space="preserve">, bland annat en </w:t>
      </w:r>
      <w:r w:rsidR="00DB7902" w:rsidRPr="00DB7902">
        <w:t>som gynnar lärosäten från länder som producerar ett mindre antal citeringar, en åtgärd som både missgynnar svenska lärosäten och KTH</w:t>
      </w:r>
      <w:r w:rsidR="001D76D0">
        <w:t xml:space="preserve"> samt</w:t>
      </w:r>
      <w:r w:rsidR="00E36530">
        <w:t xml:space="preserve"> en</w:t>
      </w:r>
      <w:r w:rsidR="001D76D0">
        <w:t xml:space="preserve"> koefficient</w:t>
      </w:r>
      <w:r w:rsidR="00E36530">
        <w:t xml:space="preserve"> som</w:t>
      </w:r>
      <w:r w:rsidR="001D76D0">
        <w:t xml:space="preserve"> värderar lärosätet prestation i jämförelse med </w:t>
      </w:r>
      <w:r w:rsidR="001D76D0">
        <w:lastRenderedPageBreak/>
        <w:t xml:space="preserve">andra universitet </w:t>
      </w:r>
      <w:r w:rsidR="002745B8">
        <w:t xml:space="preserve">i samma land </w:t>
      </w:r>
      <w:r w:rsidR="001D76D0">
        <w:t xml:space="preserve">(i och med att KTH:s forskning är mindre citerad än KI, Uppsala, Lund, Göteborg, Chalmers etc får vi </w:t>
      </w:r>
      <w:r w:rsidR="00694BBC">
        <w:t xml:space="preserve">därmed </w:t>
      </w:r>
      <w:r w:rsidR="001D76D0">
        <w:t>sämre värden i THE)</w:t>
      </w:r>
      <w:r>
        <w:t>.</w:t>
      </w:r>
    </w:p>
    <w:p w:rsidR="001D76D0" w:rsidRDefault="001D76D0" w:rsidP="00DB7902"/>
    <w:p w:rsidR="001D76D0" w:rsidRPr="00DB7902" w:rsidRDefault="001D76D0" w:rsidP="00DB7902">
      <w:r>
        <w:t>Sett till citeringsvärden befinner sig KTH där det är ytterst jämnt, små korrige</w:t>
      </w:r>
      <w:r w:rsidR="00E36530">
        <w:t>ringar</w:t>
      </w:r>
      <w:r>
        <w:t xml:space="preserve"> av KTH:s värden medför stora förändringar sett till ligaplaceringar. </w:t>
      </w:r>
    </w:p>
    <w:p w:rsidR="00DB7902" w:rsidRPr="00DB7902" w:rsidRDefault="00DB7902" w:rsidP="00DB7902">
      <w:pPr>
        <w:rPr>
          <w:lang w:eastAsia="sv-SE"/>
        </w:rPr>
      </w:pPr>
    </w:p>
    <w:p w:rsidR="00DB7902" w:rsidRDefault="00B94591" w:rsidP="000405CB">
      <w:pPr>
        <w:pStyle w:val="Rubrik2"/>
      </w:pPr>
      <w:bookmarkStart w:id="14" w:name="_Toc53410002"/>
      <w:r w:rsidRPr="00B94591">
        <w:t>Prestation</w:t>
      </w:r>
      <w:r w:rsidR="00432511">
        <w:t>-</w:t>
      </w:r>
      <w:r w:rsidRPr="00B94591">
        <w:t xml:space="preserve"> och andelsmått</w:t>
      </w:r>
      <w:bookmarkEnd w:id="14"/>
    </w:p>
    <w:p w:rsidR="00B94591" w:rsidRPr="00B94591" w:rsidRDefault="00B94591" w:rsidP="00DB7902">
      <w:r>
        <w:t>Här används mått som antal studenter per lärare och</w:t>
      </w:r>
      <w:r w:rsidR="00E33D19">
        <w:t xml:space="preserve"> andel internationell fakultet etc. </w:t>
      </w:r>
      <w:r w:rsidR="000875D1">
        <w:t xml:space="preserve">Detta är typiska mått som också i andra sammanhang används som indikatorer och </w:t>
      </w:r>
      <w:r w:rsidR="009165C8">
        <w:t xml:space="preserve">som grund för resursfördelning med mera. </w:t>
      </w:r>
    </w:p>
    <w:p w:rsidR="00DB7902" w:rsidRPr="00DB7902" w:rsidRDefault="00DB7902" w:rsidP="00DB7902"/>
    <w:p w:rsidR="00DB7902" w:rsidRPr="00A31424" w:rsidRDefault="00DB7902" w:rsidP="00DE3C50">
      <w:pPr>
        <w:pStyle w:val="Rubrik1"/>
        <w:rPr>
          <w:lang w:val="en-US"/>
        </w:rPr>
      </w:pPr>
      <w:bookmarkStart w:id="15" w:name="_Toc2763699"/>
      <w:bookmarkStart w:id="16" w:name="_Toc53410003"/>
      <w:r w:rsidRPr="00A31424">
        <w:rPr>
          <w:lang w:val="en-US"/>
        </w:rPr>
        <w:t xml:space="preserve">Resultat KTH </w:t>
      </w:r>
      <w:bookmarkEnd w:id="15"/>
      <w:r w:rsidR="009C50B6" w:rsidRPr="00A31424">
        <w:rPr>
          <w:lang w:val="en-US"/>
        </w:rPr>
        <w:t>i THE och QS</w:t>
      </w:r>
      <w:bookmarkEnd w:id="16"/>
    </w:p>
    <w:p w:rsidR="00860870" w:rsidRPr="00A31424" w:rsidRDefault="00860870" w:rsidP="000405CB">
      <w:pPr>
        <w:pStyle w:val="Rubrik2"/>
        <w:rPr>
          <w:lang w:val="en-US"/>
        </w:rPr>
      </w:pPr>
      <w:bookmarkStart w:id="17" w:name="_Toc53410004"/>
      <w:r w:rsidRPr="00A31424">
        <w:rPr>
          <w:lang w:val="en-US"/>
        </w:rPr>
        <w:t>THE:</w:t>
      </w:r>
      <w:bookmarkEnd w:id="17"/>
    </w:p>
    <w:p w:rsidR="00FD08C5" w:rsidRDefault="00DB7902" w:rsidP="00DB7902">
      <w:r w:rsidRPr="00DB7902">
        <w:t xml:space="preserve">Rankat </w:t>
      </w:r>
      <w:r w:rsidR="00FD08C5">
        <w:t>20</w:t>
      </w:r>
      <w:r w:rsidR="00A809BD">
        <w:t>20</w:t>
      </w:r>
      <w:r w:rsidR="00FD08C5">
        <w:t xml:space="preserve"> </w:t>
      </w:r>
      <w:r w:rsidR="00C52EA8">
        <w:t>bland de</w:t>
      </w:r>
      <w:r w:rsidRPr="00DB7902">
        <w:t xml:space="preserve"> </w:t>
      </w:r>
      <w:r w:rsidR="00C52EA8">
        <w:t>201-250</w:t>
      </w:r>
      <w:r w:rsidRPr="00DB7902">
        <w:t xml:space="preserve"> bästa lärosäte</w:t>
      </w:r>
      <w:r w:rsidR="00C52EA8">
        <w:t>na</w:t>
      </w:r>
      <w:r w:rsidRPr="00DB7902">
        <w:t xml:space="preserve"> (</w:t>
      </w:r>
      <w:r w:rsidR="001D76D0">
        <w:t xml:space="preserve">2019: 201-250; </w:t>
      </w:r>
      <w:r w:rsidR="00C52EA8">
        <w:t xml:space="preserve">2018: 187; </w:t>
      </w:r>
      <w:r w:rsidRPr="00DB7902">
        <w:t>2017: 173; 2016: 159; 2015: 155; 2014: 126; 2013: 117; 2012: 140; 2011: 187; 2010: 193)</w:t>
      </w:r>
      <w:r w:rsidR="00A9325B">
        <w:t>.</w:t>
      </w:r>
    </w:p>
    <w:p w:rsidR="00FD08C5" w:rsidRDefault="00FD08C5" w:rsidP="00DB7902"/>
    <w:p w:rsidR="004470D0" w:rsidRDefault="006F2E94" w:rsidP="00DB7902">
      <w:r>
        <w:t>Anledning</w:t>
      </w:r>
      <w:r w:rsidR="00AA4137">
        <w:t>en</w:t>
      </w:r>
      <w:r>
        <w:t xml:space="preserve"> till ökning</w:t>
      </w:r>
      <w:r w:rsidR="009E6E26">
        <w:t>en</w:t>
      </w:r>
      <w:r>
        <w:t xml:space="preserve"> </w:t>
      </w:r>
      <w:r w:rsidR="009D3B2B">
        <w:t xml:space="preserve">fram till 2013 </w:t>
      </w:r>
      <w:r>
        <w:t xml:space="preserve">berodde på aningen bättre citeringsvärden </w:t>
      </w:r>
      <w:r w:rsidR="009D3B2B">
        <w:t>samt</w:t>
      </w:r>
      <w:r>
        <w:t xml:space="preserve"> ökad internationalisering.</w:t>
      </w:r>
      <w:r w:rsidR="004470D0">
        <w:t xml:space="preserve"> </w:t>
      </w:r>
      <w:r w:rsidR="009D3B2B">
        <w:t>Under denna period var KTH under flera</w:t>
      </w:r>
      <w:r w:rsidR="00FD74F2">
        <w:t xml:space="preserve"> år</w:t>
      </w:r>
      <w:r w:rsidR="009D3B2B">
        <w:t xml:space="preserve"> rankat som ett av världens hundra mest internationaliserade universitet</w:t>
      </w:r>
      <w:r w:rsidR="00F53829">
        <w:t xml:space="preserve">, som bäst uppnåddes </w:t>
      </w:r>
      <w:r w:rsidR="00667EF9">
        <w:t xml:space="preserve">2014 </w:t>
      </w:r>
      <w:r w:rsidR="00F53829">
        <w:t xml:space="preserve">placering </w:t>
      </w:r>
      <w:r w:rsidR="00667EF9">
        <w:t>27 i världen</w:t>
      </w:r>
      <w:r w:rsidR="009D3B2B">
        <w:t>.</w:t>
      </w:r>
      <w:r w:rsidR="00125454">
        <w:t xml:space="preserve"> KTH</w:t>
      </w:r>
      <w:r w:rsidR="009165C8">
        <w:t xml:space="preserve"> </w:t>
      </w:r>
      <w:r w:rsidR="002C04F6">
        <w:t>föll ur denna rankning 2017</w:t>
      </w:r>
      <w:r w:rsidR="009165C8">
        <w:t xml:space="preserve">. </w:t>
      </w:r>
    </w:p>
    <w:p w:rsidR="004470D0" w:rsidRDefault="004470D0" w:rsidP="00DB7902"/>
    <w:p w:rsidR="00A4254E" w:rsidRPr="00DB7902" w:rsidRDefault="00A4254E" w:rsidP="00DB7902">
      <w:r>
        <w:t xml:space="preserve">En anledning till avancemanget från 2010 och några år framåt </w:t>
      </w:r>
      <w:r w:rsidR="00FD08C5">
        <w:t>berodde</w:t>
      </w:r>
      <w:r w:rsidR="006F2E94">
        <w:t xml:space="preserve"> även </w:t>
      </w:r>
      <w:r>
        <w:t>på förbättrad inrapportering. Denna aspekt omfattar också avancemanget i THE:s ämnes</w:t>
      </w:r>
      <w:r w:rsidR="00E271D7">
        <w:t>-</w:t>
      </w:r>
      <w:r w:rsidR="009D3B2B">
        <w:t>områdes</w:t>
      </w:r>
      <w:r>
        <w:t>ra</w:t>
      </w:r>
      <w:r w:rsidR="009D3B2B">
        <w:t>n</w:t>
      </w:r>
      <w:r>
        <w:t>kning.</w:t>
      </w:r>
    </w:p>
    <w:p w:rsidR="00A4254E" w:rsidRDefault="00A4254E" w:rsidP="00DB7902"/>
    <w:p w:rsidR="00FD08C5" w:rsidRDefault="00FD08C5" w:rsidP="00FD08C5">
      <w:r>
        <w:t>S</w:t>
      </w:r>
      <w:r w:rsidRPr="00DB7902">
        <w:t>törre skiftningar sett till resultat</w:t>
      </w:r>
      <w:r>
        <w:t xml:space="preserve"> beror vanligen på metodologiska förändringar</w:t>
      </w:r>
      <w:r w:rsidRPr="00DB7902">
        <w:t>. 2015 bytte THE leverantör från Thomson Reuters</w:t>
      </w:r>
      <w:r w:rsidR="009D3B2B">
        <w:t xml:space="preserve"> (sedermera Clarivate)</w:t>
      </w:r>
      <w:r w:rsidRPr="00DB7902">
        <w:t xml:space="preserve"> till Elsevier och antalet rankade universitet utökades</w:t>
      </w:r>
      <w:r>
        <w:t xml:space="preserve"> avsevärt</w:t>
      </w:r>
      <w:r w:rsidRPr="00DB7902">
        <w:t xml:space="preserve">. </w:t>
      </w:r>
      <w:r>
        <w:t>I samband med detta föll KTH</w:t>
      </w:r>
      <w:r w:rsidR="006F2E94">
        <w:t xml:space="preserve"> från</w:t>
      </w:r>
      <w:r w:rsidRPr="00DB7902">
        <w:t xml:space="preserve"> 126 till 155.</w:t>
      </w:r>
      <w:r w:rsidR="009165C8">
        <w:t xml:space="preserve"> </w:t>
      </w:r>
      <w:r w:rsidR="00560711">
        <w:t>N</w:t>
      </w:r>
      <w:r w:rsidR="009165C8">
        <w:t xml:space="preserve">ya universitet tillkom och </w:t>
      </w:r>
      <w:r w:rsidR="00560711">
        <w:t xml:space="preserve">några </w:t>
      </w:r>
      <w:r w:rsidR="009165C8">
        <w:t xml:space="preserve">gick om KTH. </w:t>
      </w:r>
    </w:p>
    <w:p w:rsidR="00A4254E" w:rsidRPr="00DB7902" w:rsidRDefault="00A4254E" w:rsidP="00DB7902"/>
    <w:p w:rsidR="00DB7902" w:rsidRPr="00DB7902" w:rsidRDefault="00A4254E" w:rsidP="00DB7902">
      <w:r>
        <w:t xml:space="preserve">En </w:t>
      </w:r>
      <w:r w:rsidR="009E6E26">
        <w:t>bidragande orsak</w:t>
      </w:r>
      <w:r>
        <w:t xml:space="preserve"> till KTH:s tillbakagång kan </w:t>
      </w:r>
      <w:r w:rsidR="00152AE6">
        <w:t>tillskrivas</w:t>
      </w:r>
      <w:r>
        <w:t xml:space="preserve"> ö</w:t>
      </w:r>
      <w:r w:rsidR="00DB7902" w:rsidRPr="00DB7902">
        <w:t xml:space="preserve">kad </w:t>
      </w:r>
      <w:r w:rsidR="00FD74F2">
        <w:t>internationell</w:t>
      </w:r>
      <w:r w:rsidR="00FD74F2" w:rsidRPr="00DB7902">
        <w:t xml:space="preserve"> </w:t>
      </w:r>
      <w:r w:rsidR="00DB7902" w:rsidRPr="00DB7902">
        <w:t>konkurrens. Framför allt asiatiska universitet blir allt mer citerade</w:t>
      </w:r>
      <w:r w:rsidR="00263F8B">
        <w:t xml:space="preserve"> och står för en allt större del av </w:t>
      </w:r>
      <w:r w:rsidR="007A4202">
        <w:t xml:space="preserve">den totala </w:t>
      </w:r>
      <w:r w:rsidR="00263F8B">
        <w:t>forskningsvolymen</w:t>
      </w:r>
      <w:r w:rsidR="007A4202">
        <w:t xml:space="preserve"> i världen</w:t>
      </w:r>
      <w:r>
        <w:t xml:space="preserve">. </w:t>
      </w:r>
      <w:r w:rsidR="009D3B2B">
        <w:t xml:space="preserve">Citeringsgraden korresponderar i </w:t>
      </w:r>
      <w:r w:rsidR="00F53829">
        <w:t>relativt</w:t>
      </w:r>
      <w:r w:rsidR="009D3B2B">
        <w:t xml:space="preserve"> hög </w:t>
      </w:r>
      <w:r w:rsidR="00317AF7">
        <w:t>grad</w:t>
      </w:r>
      <w:r w:rsidR="009D3B2B">
        <w:t xml:space="preserve"> med </w:t>
      </w:r>
      <w:r w:rsidR="00787798">
        <w:t>resultatet i ryktesmätningarna</w:t>
      </w:r>
      <w:r w:rsidR="009D3B2B">
        <w:t xml:space="preserve">. Idag står Asien för </w:t>
      </w:r>
      <w:r w:rsidR="00F53829">
        <w:t xml:space="preserve">en </w:t>
      </w:r>
      <w:r w:rsidR="009D3B2B">
        <w:t xml:space="preserve">större forskningsvolym än Europa. </w:t>
      </w:r>
      <w:r>
        <w:t>Flera länder har</w:t>
      </w:r>
      <w:r w:rsidR="00FD08C5">
        <w:t xml:space="preserve"> som</w:t>
      </w:r>
      <w:r>
        <w:t xml:space="preserve"> u</w:t>
      </w:r>
      <w:r w:rsidR="00DB7902" w:rsidRPr="00DB7902">
        <w:t>ttalad målsättning att</w:t>
      </w:r>
      <w:r>
        <w:t xml:space="preserve"> </w:t>
      </w:r>
      <w:r w:rsidR="00FD08C5">
        <w:t xml:space="preserve">deras främsta </w:t>
      </w:r>
      <w:r w:rsidR="00152AE6">
        <w:t>universitet</w:t>
      </w:r>
      <w:r>
        <w:t xml:space="preserve"> skall</w:t>
      </w:r>
      <w:r w:rsidR="00DB7902" w:rsidRPr="00DB7902">
        <w:t xml:space="preserve"> tillhöra de högst rankade</w:t>
      </w:r>
      <w:r w:rsidR="009D3B2B">
        <w:t xml:space="preserve"> och, som sagt, gjort satsningar för att uppnå detta</w:t>
      </w:r>
      <w:r w:rsidR="00DB7902" w:rsidRPr="00DB7902">
        <w:t xml:space="preserve">. </w:t>
      </w:r>
      <w:r w:rsidR="00C52EA8">
        <w:t>KTH:s relativt svaga citeringsgrad resulterade slutligen i att KTH föll ur topp 200</w:t>
      </w:r>
      <w:r w:rsidR="00956687">
        <w:t xml:space="preserve"> i THE</w:t>
      </w:r>
      <w:r w:rsidR="00C52EA8">
        <w:t xml:space="preserve"> år 2019.</w:t>
      </w:r>
    </w:p>
    <w:p w:rsidR="00A4254E" w:rsidRDefault="00A4254E" w:rsidP="00DB7902"/>
    <w:p w:rsidR="00DB7902" w:rsidRPr="00DB7902" w:rsidRDefault="00152AE6" w:rsidP="00DB7902">
      <w:r>
        <w:t xml:space="preserve">KTH tappade placeringar på </w:t>
      </w:r>
      <w:r w:rsidR="00BA3BA9">
        <w:t>grund</w:t>
      </w:r>
      <w:r>
        <w:t xml:space="preserve"> av i</w:t>
      </w:r>
      <w:r w:rsidR="00DB7902" w:rsidRPr="00DB7902">
        <w:t xml:space="preserve">ntroduktionen av studieavgifter 2011 – </w:t>
      </w:r>
      <w:r>
        <w:t>härmed</w:t>
      </w:r>
      <w:r w:rsidR="00A4254E">
        <w:t xml:space="preserve"> </w:t>
      </w:r>
      <w:r w:rsidR="00DB7902" w:rsidRPr="00DB7902">
        <w:t>minsk</w:t>
      </w:r>
      <w:r w:rsidR="00A4254E">
        <w:t>ade</w:t>
      </w:r>
      <w:r w:rsidR="00DB7902" w:rsidRPr="00DB7902">
        <w:t xml:space="preserve"> antalet intern</w:t>
      </w:r>
      <w:r>
        <w:t>ationella studenter</w:t>
      </w:r>
      <w:r w:rsidR="00DB7902" w:rsidRPr="00DB7902">
        <w:t xml:space="preserve"> samtidigt som </w:t>
      </w:r>
      <w:r>
        <w:t xml:space="preserve">den internationella </w:t>
      </w:r>
      <w:r w:rsidR="00DB7902" w:rsidRPr="00DB7902">
        <w:t>marknaden expanderat</w:t>
      </w:r>
      <w:r>
        <w:t>. KTH gick alltså bak</w:t>
      </w:r>
      <w:r w:rsidR="006F2E94">
        <w:t>åt när de flesta gick framåt</w:t>
      </w:r>
      <w:r>
        <w:t xml:space="preserve">. </w:t>
      </w:r>
    </w:p>
    <w:p w:rsidR="00A4254E" w:rsidRDefault="00A4254E" w:rsidP="00DB7902"/>
    <w:p w:rsidR="00DB7902" w:rsidRPr="00DB7902" w:rsidRDefault="00DB7902" w:rsidP="00DB7902">
      <w:r w:rsidRPr="00DB7902">
        <w:t xml:space="preserve">KTH studenter tar ut betydligt fler kandidatexamina nu än </w:t>
      </w:r>
      <w:r w:rsidR="00FD519A">
        <w:t xml:space="preserve">för det underlag som inrapporterades för </w:t>
      </w:r>
      <w:r w:rsidRPr="00DB7902">
        <w:t>2010</w:t>
      </w:r>
      <w:r w:rsidR="00152AE6">
        <w:t>.</w:t>
      </w:r>
      <w:r w:rsidR="00FD519A">
        <w:t xml:space="preserve"> 2008, som låg till grund för rankningen 2010, utdelades totalt 360 teknologie kandidat- och  högskoleingenjörsexamina. 2017 </w:t>
      </w:r>
      <w:r w:rsidR="002A33F7">
        <w:t>beviljades</w:t>
      </w:r>
      <w:r w:rsidR="00FD519A">
        <w:t xml:space="preserve"> 1449 teknologie kandidat- och högskoleingenjörsexamina.</w:t>
      </w:r>
      <w:r w:rsidR="00152AE6">
        <w:t xml:space="preserve"> Detta får negativ effekt på indikatorn </w:t>
      </w:r>
      <w:r w:rsidR="00152AE6" w:rsidRPr="00DB7902">
        <w:rPr>
          <w:rFonts w:eastAsia="Calibri" w:cs="Times New Roman"/>
          <w:szCs w:val="22"/>
        </w:rPr>
        <w:t>Antal doktorsexamina per examina på kandidatnivå (</w:t>
      </w:r>
      <w:r w:rsidR="00A9325B">
        <w:rPr>
          <w:rFonts w:eastAsia="Calibri" w:cs="Times New Roman"/>
          <w:szCs w:val="22"/>
        </w:rPr>
        <w:t xml:space="preserve">viktat </w:t>
      </w:r>
      <w:r w:rsidR="00152AE6" w:rsidRPr="00DB7902">
        <w:rPr>
          <w:rFonts w:eastAsia="Calibri" w:cs="Times New Roman"/>
          <w:szCs w:val="22"/>
        </w:rPr>
        <w:t>2,25 procent)</w:t>
      </w:r>
      <w:r w:rsidR="00152AE6">
        <w:rPr>
          <w:rFonts w:eastAsia="Calibri" w:cs="Times New Roman"/>
          <w:szCs w:val="22"/>
        </w:rPr>
        <w:t>.</w:t>
      </w:r>
      <w:r w:rsidR="00F53829">
        <w:rPr>
          <w:rFonts w:eastAsia="Calibri" w:cs="Times New Roman"/>
          <w:szCs w:val="22"/>
        </w:rPr>
        <w:t xml:space="preserve"> Detta har </w:t>
      </w:r>
      <w:r w:rsidR="007A4202">
        <w:rPr>
          <w:rFonts w:eastAsia="Calibri" w:cs="Times New Roman"/>
          <w:szCs w:val="22"/>
        </w:rPr>
        <w:t>uppskattningsvis</w:t>
      </w:r>
      <w:r w:rsidR="00F53829">
        <w:rPr>
          <w:rFonts w:eastAsia="Calibri" w:cs="Times New Roman"/>
          <w:szCs w:val="22"/>
        </w:rPr>
        <w:t xml:space="preserve"> kostat oss cirka tio placeringar.</w:t>
      </w:r>
    </w:p>
    <w:p w:rsidR="00A4254E" w:rsidRDefault="00A4254E" w:rsidP="00DB7902"/>
    <w:p w:rsidR="00DB7902" w:rsidRDefault="00A4254E" w:rsidP="00DB7902">
      <w:r>
        <w:t>KTH har efter en</w:t>
      </w:r>
      <w:r w:rsidR="00152AE6">
        <w:t xml:space="preserve"> relativt</w:t>
      </w:r>
      <w:r>
        <w:t xml:space="preserve"> kraftig </w:t>
      </w:r>
      <w:r w:rsidR="00152AE6">
        <w:t>expansionsfas</w:t>
      </w:r>
      <w:r>
        <w:t xml:space="preserve"> slutat att expandera. </w:t>
      </w:r>
    </w:p>
    <w:p w:rsidR="00860870" w:rsidRDefault="00860870" w:rsidP="00DB7902"/>
    <w:p w:rsidR="00860870" w:rsidRDefault="00860870" w:rsidP="000405CB">
      <w:pPr>
        <w:pStyle w:val="Rubrik2"/>
      </w:pPr>
      <w:bookmarkStart w:id="18" w:name="_Toc53410005"/>
      <w:r w:rsidRPr="00860870">
        <w:lastRenderedPageBreak/>
        <w:t>QS</w:t>
      </w:r>
      <w:r w:rsidR="00A4254E">
        <w:t>:</w:t>
      </w:r>
      <w:bookmarkEnd w:id="18"/>
    </w:p>
    <w:p w:rsidR="00A4254E" w:rsidRDefault="00A4254E" w:rsidP="00A4254E">
      <w:r>
        <w:t>R</w:t>
      </w:r>
      <w:r w:rsidR="00152AE6">
        <w:t>ankat</w:t>
      </w:r>
      <w:r>
        <w:t xml:space="preserve"> som</w:t>
      </w:r>
      <w:r w:rsidR="00860870" w:rsidRPr="00860870">
        <w:t xml:space="preserve"> </w:t>
      </w:r>
      <w:r w:rsidR="000405CB">
        <w:t>98</w:t>
      </w:r>
      <w:r>
        <w:t>:e bästa lärosäte</w:t>
      </w:r>
      <w:r w:rsidR="00860870" w:rsidRPr="00860870">
        <w:t xml:space="preserve"> (</w:t>
      </w:r>
      <w:r w:rsidR="00E36530">
        <w:t xml:space="preserve">2019: 98; </w:t>
      </w:r>
      <w:r w:rsidR="000405CB">
        <w:t xml:space="preserve">2018: 104; </w:t>
      </w:r>
      <w:r w:rsidR="00860870" w:rsidRPr="00860870">
        <w:t>2017: 98; 2016: 97; 2015: 92; 2014: 110; 2013: 118; 2012: 142; 2011: 180; 2010: 150; 2009: 174; 2008: 176; 2007: 192; 2006: 172; 2005: 172)</w:t>
      </w:r>
      <w:r w:rsidR="00490CC6">
        <w:t>.</w:t>
      </w:r>
    </w:p>
    <w:p w:rsidR="00A4254E" w:rsidRDefault="00A4254E" w:rsidP="00A4254E"/>
    <w:p w:rsidR="00A4254E" w:rsidRDefault="00A4254E" w:rsidP="00A4254E">
      <w:r>
        <w:t>Den främsta anledningen till att KTH avancerat i QS beror på att man inför rank</w:t>
      </w:r>
      <w:r w:rsidR="00353815">
        <w:t>n</w:t>
      </w:r>
      <w:r>
        <w:t xml:space="preserve">ingen 2015 valde att fältnormera citeringarna. Tidigare använde man ”råa” citeringar vilket gynnade </w:t>
      </w:r>
      <w:r w:rsidR="00152AE6">
        <w:t>lärosäten</w:t>
      </w:r>
      <w:r>
        <w:t xml:space="preserve"> </w:t>
      </w:r>
      <w:r w:rsidR="00A31424">
        <w:t xml:space="preserve">med </w:t>
      </w:r>
      <w:r>
        <w:t xml:space="preserve">mycket </w:t>
      </w:r>
      <w:r w:rsidR="00152AE6">
        <w:t>livsvetenskap</w:t>
      </w:r>
      <w:r>
        <w:t xml:space="preserve"> och naturvetenskap. Andra förklaringar bakom f</w:t>
      </w:r>
      <w:r w:rsidR="009165C8">
        <w:t xml:space="preserve">ramgången består av förbättrad rapportering av </w:t>
      </w:r>
      <w:r>
        <w:t xml:space="preserve">underlag och att KTH:s rykte stärkts </w:t>
      </w:r>
      <w:r w:rsidR="00152AE6">
        <w:t xml:space="preserve">generellt </w:t>
      </w:r>
      <w:r>
        <w:t xml:space="preserve">under perioden. </w:t>
      </w:r>
    </w:p>
    <w:p w:rsidR="00E0043B" w:rsidRDefault="00E0043B" w:rsidP="009D3B2B"/>
    <w:p w:rsidR="009D3B2B" w:rsidRDefault="00E0043B" w:rsidP="009D3B2B">
      <w:r>
        <w:t>I både THE och QS</w:t>
      </w:r>
      <w:r w:rsidR="009D3B2B">
        <w:t xml:space="preserve"> står KTH kvar på ungefär samma eller något sämre värden som vid den senaste mätningen</w:t>
      </w:r>
      <w:r>
        <w:t>.</w:t>
      </w:r>
      <w:r w:rsidR="009D3B2B">
        <w:t xml:space="preserve"> </w:t>
      </w:r>
      <w:r>
        <w:t>Samtidigt är</w:t>
      </w:r>
      <w:r w:rsidR="009D3B2B">
        <w:t xml:space="preserve"> det andra universitet</w:t>
      </w:r>
      <w:r w:rsidR="00FD74F2">
        <w:t xml:space="preserve"> som </w:t>
      </w:r>
      <w:r w:rsidR="009D3B2B">
        <w:t>ökar mer. Risken är att KTH tappar ytterligare mark. Omvänt, kan KTH fortsätta att prestera bra där universitetet i nuläget har sina främsta styrkor och samtidigt presterar bättre där vi har våra svagheter är det möjligt att nå topp hundra.</w:t>
      </w:r>
      <w:r w:rsidR="001D76D0">
        <w:t xml:space="preserve"> </w:t>
      </w:r>
      <w:r w:rsidR="00E36530">
        <w:t>Om</w:t>
      </w:r>
      <w:r w:rsidR="001D76D0">
        <w:t xml:space="preserve"> KTH:s forskning </w:t>
      </w:r>
      <w:r w:rsidR="00E36530">
        <w:t xml:space="preserve">skulle </w:t>
      </w:r>
      <w:r w:rsidR="001D76D0">
        <w:t xml:space="preserve">vara lika citerad som DTU:s </w:t>
      </w:r>
      <w:r w:rsidR="00E36530">
        <w:t>hade vi befunnit</w:t>
      </w:r>
      <w:r w:rsidR="001D76D0">
        <w:t xml:space="preserve"> oss omkring position 110</w:t>
      </w:r>
      <w:r w:rsidR="00694BBC">
        <w:t xml:space="preserve"> i THE</w:t>
      </w:r>
      <w:r w:rsidR="001D76D0">
        <w:t>.</w:t>
      </w:r>
    </w:p>
    <w:p w:rsidR="009D3B2B" w:rsidRDefault="009D3B2B" w:rsidP="009D3B2B"/>
    <w:p w:rsidR="00DF6ACF" w:rsidRDefault="00DF6ACF" w:rsidP="00DF6ACF">
      <w:pPr>
        <w:pStyle w:val="Rubrik1"/>
      </w:pPr>
      <w:bookmarkStart w:id="19" w:name="_Toc53410006"/>
      <w:r>
        <w:t>Utveckling</w:t>
      </w:r>
      <w:r w:rsidR="006862FA">
        <w:t xml:space="preserve"> rankning</w:t>
      </w:r>
      <w:bookmarkEnd w:id="19"/>
    </w:p>
    <w:p w:rsidR="006862FA" w:rsidRDefault="00066984" w:rsidP="009D3B2B">
      <w:r>
        <w:t>Intresset</w:t>
      </w:r>
      <w:r w:rsidR="00A4254E">
        <w:t xml:space="preserve"> för rankningar förväntas ur ett </w:t>
      </w:r>
      <w:r>
        <w:t>internationellt</w:t>
      </w:r>
      <w:r w:rsidR="00A4254E">
        <w:t xml:space="preserve"> perspektiv bestå under överskådlig framtid.</w:t>
      </w:r>
      <w:r w:rsidR="009D3B2B">
        <w:t xml:space="preserve"> </w:t>
      </w:r>
      <w:r w:rsidR="00A4254E">
        <w:t xml:space="preserve">Intresset förväntas </w:t>
      </w:r>
      <w:r w:rsidR="002D5DF6">
        <w:t xml:space="preserve">öka </w:t>
      </w:r>
      <w:r w:rsidR="00A4254E">
        <w:t xml:space="preserve">också i </w:t>
      </w:r>
      <w:r>
        <w:t>Sverige</w:t>
      </w:r>
      <w:r w:rsidR="00A4254E">
        <w:t>.</w:t>
      </w:r>
      <w:r w:rsidR="006862FA">
        <w:t xml:space="preserve"> Risken </w:t>
      </w:r>
      <w:r w:rsidR="00E0043B">
        <w:t>är överhänga</w:t>
      </w:r>
      <w:r w:rsidR="00410C85">
        <w:t>n</w:t>
      </w:r>
      <w:r w:rsidR="00E0043B">
        <w:t>de</w:t>
      </w:r>
      <w:r w:rsidR="006862FA">
        <w:t xml:space="preserve"> att svenska universitet tappar i rankningar, vilket kan skapa oro på debattsidor</w:t>
      </w:r>
      <w:r w:rsidR="00317AF7">
        <w:t xml:space="preserve"> och användas</w:t>
      </w:r>
      <w:r w:rsidR="004402C2">
        <w:t xml:space="preserve"> som </w:t>
      </w:r>
      <w:r w:rsidR="00FE3D95">
        <w:t xml:space="preserve">tillhygge </w:t>
      </w:r>
      <w:r w:rsidR="004402C2">
        <w:t>i den politiska debatten</w:t>
      </w:r>
      <w:r w:rsidR="006862FA">
        <w:t xml:space="preserve"> etc, och föranleda satsningar.</w:t>
      </w:r>
      <w:r w:rsidR="00A4254E">
        <w:t xml:space="preserve"> </w:t>
      </w:r>
      <w:r w:rsidR="009D3B2B">
        <w:t>Det blir också allt fler rankningar</w:t>
      </w:r>
      <w:r w:rsidR="006862FA">
        <w:t>, också från QS och THE</w:t>
      </w:r>
      <w:r w:rsidR="00FD74F2">
        <w:t xml:space="preserve"> samt andra aktörer</w:t>
      </w:r>
      <w:r w:rsidR="009D3B2B">
        <w:t xml:space="preserve">. </w:t>
      </w:r>
      <w:r w:rsidR="009C13F5">
        <w:t>I detta avseende förväntas allt mer data efterfrågas</w:t>
      </w:r>
      <w:r w:rsidR="00EC1A19">
        <w:t xml:space="preserve"> av rankningleverantörerna</w:t>
      </w:r>
      <w:r w:rsidR="009C13F5">
        <w:t>, vilket ställer krav på utökad dokumentation</w:t>
      </w:r>
      <w:r w:rsidR="00EC1A19">
        <w:t xml:space="preserve"> inom KTH</w:t>
      </w:r>
      <w:r w:rsidR="009C13F5">
        <w:t>, samt att hanteringen av rankningfrågan blir allt mer tids</w:t>
      </w:r>
      <w:r w:rsidR="000574D5">
        <w:t>- och resurs</w:t>
      </w:r>
      <w:r w:rsidR="009C13F5">
        <w:t>krävande.</w:t>
      </w:r>
    </w:p>
    <w:p w:rsidR="006862FA" w:rsidRDefault="006862FA" w:rsidP="009D3B2B"/>
    <w:p w:rsidR="009D3B2B" w:rsidRDefault="002D5DF6" w:rsidP="009D3B2B">
      <w:r>
        <w:t>K</w:t>
      </w:r>
      <w:r w:rsidR="00DF6ACF">
        <w:t xml:space="preserve">onkurrensen </w:t>
      </w:r>
      <w:r>
        <w:t>förväntas</w:t>
      </w:r>
      <w:r w:rsidR="006862FA">
        <w:t>, som sagt,</w:t>
      </w:r>
      <w:r w:rsidR="00FD74F2">
        <w:t xml:space="preserve"> tillta</w:t>
      </w:r>
      <w:r w:rsidR="00A4254E">
        <w:t xml:space="preserve"> framför allt från Ostasien, Indien och i någon mån från Latinamerika</w:t>
      </w:r>
      <w:r w:rsidR="00FD08C5">
        <w:t xml:space="preserve"> och</w:t>
      </w:r>
      <w:r w:rsidR="000574D5">
        <w:t xml:space="preserve"> vissa länder</w:t>
      </w:r>
      <w:r w:rsidR="00FD08C5">
        <w:t xml:space="preserve"> </w:t>
      </w:r>
      <w:r w:rsidR="00C52EA8">
        <w:t xml:space="preserve">i </w:t>
      </w:r>
      <w:r w:rsidR="00FD08C5">
        <w:t>Mellanöstern</w:t>
      </w:r>
      <w:r w:rsidR="000574D5">
        <w:t>, framför allt oljestaterna</w:t>
      </w:r>
      <w:r w:rsidR="00DF6ACF">
        <w:t xml:space="preserve">. Internationellt satsar många universitet på att </w:t>
      </w:r>
      <w:r w:rsidR="008006DC">
        <w:t>flytta fram</w:t>
      </w:r>
      <w:r w:rsidR="00DF6ACF">
        <w:t xml:space="preserve"> sina positioner i de ledande rank</w:t>
      </w:r>
      <w:r w:rsidR="001330D5">
        <w:t>n</w:t>
      </w:r>
      <w:r w:rsidR="00DF6ACF">
        <w:t>ingarna</w:t>
      </w:r>
      <w:r w:rsidR="00DF6ACF" w:rsidRPr="00564718">
        <w:t xml:space="preserve"> </w:t>
      </w:r>
      <w:r w:rsidR="00DF6ACF">
        <w:t xml:space="preserve">och </w:t>
      </w:r>
      <w:r w:rsidR="009E6E26">
        <w:t>flera</w:t>
      </w:r>
      <w:r w:rsidR="00DF6ACF">
        <w:t xml:space="preserve"> länder </w:t>
      </w:r>
      <w:r w:rsidR="00AA00A2">
        <w:t xml:space="preserve">satsar </w:t>
      </w:r>
      <w:r w:rsidR="00DF6ACF">
        <w:t xml:space="preserve">stora resurser på att stärka sina främsta universitet </w:t>
      </w:r>
      <w:r w:rsidR="00AE51D9">
        <w:t>med uttrycklig målsättning</w:t>
      </w:r>
      <w:r w:rsidR="00DF6ACF">
        <w:t xml:space="preserve"> att de skall återfinnas bland de 200 </w:t>
      </w:r>
      <w:r>
        <w:t>högst rankade</w:t>
      </w:r>
      <w:r w:rsidR="00DF6ACF">
        <w:t xml:space="preserve">. </w:t>
      </w:r>
    </w:p>
    <w:p w:rsidR="009D3B2B" w:rsidRDefault="009D3B2B" w:rsidP="009D3B2B"/>
    <w:p w:rsidR="006C7106" w:rsidRDefault="00FF4E05" w:rsidP="006C7106">
      <w:pPr>
        <w:pStyle w:val="Rubrik1"/>
      </w:pPr>
      <w:bookmarkStart w:id="20" w:name="_Toc53410007"/>
      <w:r>
        <w:t>H</w:t>
      </w:r>
      <w:r w:rsidR="006F2E94">
        <w:t>andlingsplan</w:t>
      </w:r>
      <w:bookmarkEnd w:id="20"/>
    </w:p>
    <w:p w:rsidR="00AA00A2" w:rsidRDefault="00FF4E05" w:rsidP="004B5BF3">
      <w:r>
        <w:t>Med</w:t>
      </w:r>
      <w:r w:rsidR="009440D5">
        <w:t xml:space="preserve"> syfte att </w:t>
      </w:r>
      <w:r w:rsidR="00C74B7B">
        <w:t xml:space="preserve">befästa </w:t>
      </w:r>
      <w:r w:rsidR="009440D5">
        <w:t>KTH</w:t>
      </w:r>
      <w:r w:rsidR="00C74B7B">
        <w:t>:s</w:t>
      </w:r>
      <w:r w:rsidR="009440D5">
        <w:t xml:space="preserve"> ställning i </w:t>
      </w:r>
      <w:r>
        <w:t>THE och QS</w:t>
      </w:r>
      <w:r w:rsidR="0096131E">
        <w:t xml:space="preserve"> helhetsrankningar</w:t>
      </w:r>
      <w:r>
        <w:t xml:space="preserve"> har </w:t>
      </w:r>
      <w:r w:rsidR="008605B7">
        <w:t>undertecknad</w:t>
      </w:r>
      <w:r>
        <w:t xml:space="preserve"> tagit </w:t>
      </w:r>
      <w:r w:rsidR="00C74B7B">
        <w:t xml:space="preserve">fram </w:t>
      </w:r>
      <w:r w:rsidR="006862FA">
        <w:t>en</w:t>
      </w:r>
      <w:r w:rsidR="0060698D">
        <w:t xml:space="preserve"> handlingsplan</w:t>
      </w:r>
      <w:r w:rsidR="002745B8">
        <w:t xml:space="preserve"> med förslag till åtgärder</w:t>
      </w:r>
      <w:r w:rsidR="00C74B7B">
        <w:t xml:space="preserve">. </w:t>
      </w:r>
      <w:r w:rsidR="009D4272">
        <w:t xml:space="preserve">Under rubrikerna </w:t>
      </w:r>
      <w:r w:rsidR="00516B41">
        <w:t xml:space="preserve">1) </w:t>
      </w:r>
      <w:r>
        <w:t xml:space="preserve">forskning, </w:t>
      </w:r>
      <w:r w:rsidR="00516B41">
        <w:t xml:space="preserve">2) </w:t>
      </w:r>
      <w:r>
        <w:t xml:space="preserve">utbildning, </w:t>
      </w:r>
      <w:r w:rsidR="00516B41">
        <w:t xml:space="preserve">3) </w:t>
      </w:r>
      <w:r>
        <w:t>internationalisering</w:t>
      </w:r>
      <w:r w:rsidR="00E42C80">
        <w:t xml:space="preserve">, </w:t>
      </w:r>
      <w:r w:rsidR="00516B41">
        <w:t xml:space="preserve">4) </w:t>
      </w:r>
      <w:r w:rsidR="00E42C80">
        <w:t>s</w:t>
      </w:r>
      <w:r w:rsidR="00E42C80" w:rsidRPr="00E42C80">
        <w:t>ynlighet och varumärkesförstärkning</w:t>
      </w:r>
      <w:r w:rsidR="00E36530">
        <w:t xml:space="preserve"> och</w:t>
      </w:r>
      <w:r>
        <w:t xml:space="preserve"> </w:t>
      </w:r>
      <w:r w:rsidR="008B0030">
        <w:t xml:space="preserve">5) </w:t>
      </w:r>
      <w:r w:rsidR="000405CB">
        <w:t xml:space="preserve">innovation och </w:t>
      </w:r>
      <w:r>
        <w:t>samverkan</w:t>
      </w:r>
      <w:r w:rsidR="009D4272">
        <w:t xml:space="preserve"> </w:t>
      </w:r>
      <w:r w:rsidR="008B0030">
        <w:t xml:space="preserve">samt </w:t>
      </w:r>
      <w:r w:rsidR="000405CB">
        <w:t>6</w:t>
      </w:r>
      <w:r w:rsidR="008B0030">
        <w:t xml:space="preserve">) övrigt </w:t>
      </w:r>
      <w:r w:rsidR="009D4272">
        <w:t xml:space="preserve">redovisas </w:t>
      </w:r>
      <w:r w:rsidR="001E1739">
        <w:t xml:space="preserve">nedan </w:t>
      </w:r>
      <w:r w:rsidR="009D4272">
        <w:t>förslag till åtgärder</w:t>
      </w:r>
      <w:r>
        <w:t>.</w:t>
      </w:r>
      <w:r w:rsidR="009D4272">
        <w:t xml:space="preserve"> </w:t>
      </w:r>
      <w:r w:rsidR="00E271D7">
        <w:t xml:space="preserve">I </w:t>
      </w:r>
      <w:r w:rsidR="005B4394">
        <w:t>B</w:t>
      </w:r>
      <w:r w:rsidR="00E271D7">
        <w:t xml:space="preserve">ilaga 1 framgår vilka åtgärder som pågår. </w:t>
      </w:r>
      <w:r w:rsidR="0062356D">
        <w:t>Nedan återfinns även en konsekvensanalys</w:t>
      </w:r>
      <w:r w:rsidR="005B4394">
        <w:t xml:space="preserve"> samt en reflektion kring realistiska målsättningar</w:t>
      </w:r>
      <w:r w:rsidR="0062356D">
        <w:t>.</w:t>
      </w:r>
    </w:p>
    <w:p w:rsidR="00AA00A2" w:rsidRDefault="00AA00A2" w:rsidP="004B5BF3"/>
    <w:p w:rsidR="009D4272" w:rsidRDefault="009D4272" w:rsidP="004B5BF3">
      <w:r>
        <w:t>De åtgärder som rektor besluta</w:t>
      </w:r>
      <w:r w:rsidR="00E0043B">
        <w:t>r</w:t>
      </w:r>
      <w:r>
        <w:t xml:space="preserve"> genomföra återfinns </w:t>
      </w:r>
      <w:r w:rsidR="006862FA">
        <w:t xml:space="preserve">längst ned </w:t>
      </w:r>
      <w:r>
        <w:t xml:space="preserve">under </w:t>
      </w:r>
      <w:r w:rsidR="006862FA">
        <w:t xml:space="preserve">rubriken </w:t>
      </w:r>
      <w:r>
        <w:t>beslutade åtgärder.</w:t>
      </w:r>
    </w:p>
    <w:p w:rsidR="004B5BF3" w:rsidRDefault="004B5BF3" w:rsidP="004B5BF3"/>
    <w:p w:rsidR="009C7A4C" w:rsidRDefault="009D6E56" w:rsidP="004B5BF3">
      <w:r>
        <w:t>Utgångspunkten</w:t>
      </w:r>
      <w:r w:rsidR="00B1517F">
        <w:t xml:space="preserve"> bör vara att genomföra åtgärder som är </w:t>
      </w:r>
      <w:r w:rsidR="0060698D">
        <w:t>förnuftiga</w:t>
      </w:r>
      <w:r w:rsidR="00B1517F">
        <w:t xml:space="preserve"> att </w:t>
      </w:r>
      <w:r w:rsidR="00BD4188">
        <w:t>realisera</w:t>
      </w:r>
      <w:r w:rsidR="00B1517F">
        <w:t xml:space="preserve"> ur ett större strategiskt perspektiv. </w:t>
      </w:r>
      <w:r>
        <w:t>Exempelvis är en satsning för att öka KTH:</w:t>
      </w:r>
      <w:r w:rsidR="00E0043B">
        <w:t>s citerings</w:t>
      </w:r>
      <w:r w:rsidR="004402C2">
        <w:t>grad</w:t>
      </w:r>
      <w:r w:rsidR="00E0043B">
        <w:t xml:space="preserve"> också förnuftig</w:t>
      </w:r>
      <w:r>
        <w:t xml:space="preserve"> då detta mått används vid</w:t>
      </w:r>
      <w:r w:rsidR="006862FA">
        <w:t xml:space="preserve"> </w:t>
      </w:r>
      <w:r>
        <w:t xml:space="preserve">forskningsutvärderingar och som grund för resursfördelning. </w:t>
      </w:r>
      <w:r w:rsidR="00B1517F">
        <w:t>Läsaren bör ha i åtanke att rankningar är under ständig utveckling och</w:t>
      </w:r>
      <w:r>
        <w:t xml:space="preserve"> indikatorer kommer och går</w:t>
      </w:r>
      <w:r w:rsidR="008E388E">
        <w:t xml:space="preserve"> samt att man tidigare genomfört större </w:t>
      </w:r>
      <w:r w:rsidR="00443974">
        <w:t xml:space="preserve">metodologiska </w:t>
      </w:r>
      <w:r w:rsidR="008E388E">
        <w:t>förändringar</w:t>
      </w:r>
      <w:r>
        <w:t xml:space="preserve">. </w:t>
      </w:r>
      <w:r w:rsidR="00BD4188">
        <w:t xml:space="preserve">Detta kommer </w:t>
      </w:r>
      <w:r w:rsidR="00605950">
        <w:t xml:space="preserve">att </w:t>
      </w:r>
      <w:r w:rsidR="009D229E">
        <w:t>inträffa</w:t>
      </w:r>
      <w:r w:rsidR="00605950">
        <w:t xml:space="preserve"> igen.</w:t>
      </w:r>
      <w:r w:rsidR="00956687">
        <w:t xml:space="preserve"> THE uppges göra om sin </w:t>
      </w:r>
      <w:r w:rsidR="00EE34BB">
        <w:t xml:space="preserve">THE World </w:t>
      </w:r>
      <w:r w:rsidR="00EE34BB">
        <w:lastRenderedPageBreak/>
        <w:t>University Rankings</w:t>
      </w:r>
      <w:r w:rsidR="00956687">
        <w:t xml:space="preserve"> inför 202</w:t>
      </w:r>
      <w:r w:rsidR="00A809BD">
        <w:t>2</w:t>
      </w:r>
      <w:r w:rsidR="00956687">
        <w:t>.</w:t>
      </w:r>
      <w:r w:rsidR="00605950">
        <w:t xml:space="preserve"> </w:t>
      </w:r>
      <w:r>
        <w:t>Det</w:t>
      </w:r>
      <w:r w:rsidR="00B1517F">
        <w:t xml:space="preserve"> kan </w:t>
      </w:r>
      <w:r>
        <w:t xml:space="preserve">således </w:t>
      </w:r>
      <w:r w:rsidR="00B1517F">
        <w:t>vara riskabelt att pr</w:t>
      </w:r>
      <w:r w:rsidR="0060698D">
        <w:t xml:space="preserve">ioritera någon enstaka, </w:t>
      </w:r>
      <w:r w:rsidR="00410C85">
        <w:t>perifer</w:t>
      </w:r>
      <w:r>
        <w:t xml:space="preserve">, </w:t>
      </w:r>
      <w:r w:rsidR="008E388E">
        <w:t>indikator, som inte tjänar någon nytta för verksamheten</w:t>
      </w:r>
      <w:r w:rsidR="000574D5">
        <w:t xml:space="preserve"> eller samhället</w:t>
      </w:r>
      <w:r w:rsidR="008E388E">
        <w:t xml:space="preserve"> i övrigt</w:t>
      </w:r>
      <w:r>
        <w:t>.</w:t>
      </w:r>
    </w:p>
    <w:p w:rsidR="004B5BF3" w:rsidRDefault="004B5BF3" w:rsidP="004B5BF3"/>
    <w:p w:rsidR="009C50B6" w:rsidRDefault="009C50B6" w:rsidP="009C7A4C">
      <w:pPr>
        <w:pStyle w:val="Rubrik1"/>
      </w:pPr>
      <w:bookmarkStart w:id="21" w:name="_Toc53410008"/>
      <w:r w:rsidRPr="009C50B6">
        <w:t>Forskning</w:t>
      </w:r>
      <w:bookmarkEnd w:id="21"/>
    </w:p>
    <w:p w:rsidR="006862FA" w:rsidRDefault="00FD74F2" w:rsidP="004B5BF3">
      <w:r>
        <w:t>Samtliga av de fyra ledande rankningarna</w:t>
      </w:r>
      <w:r w:rsidR="00E271D7">
        <w:t xml:space="preserve"> </w:t>
      </w:r>
      <w:r w:rsidR="00AA00A2">
        <w:t>favoriserar</w:t>
      </w:r>
      <w:r w:rsidR="006862FA">
        <w:t xml:space="preserve"> det forskningsintensiva </w:t>
      </w:r>
      <w:r w:rsidR="008A6951">
        <w:t>universitet</w:t>
      </w:r>
      <w:r w:rsidR="006862FA">
        <w:t>, där mer än 7</w:t>
      </w:r>
      <w:r w:rsidR="004402C2">
        <w:t>0</w:t>
      </w:r>
      <w:r w:rsidR="006862FA">
        <w:t xml:space="preserve"> procent av </w:t>
      </w:r>
      <w:r w:rsidR="00945AB4">
        <w:t xml:space="preserve">den totala </w:t>
      </w:r>
      <w:r w:rsidR="003E325F">
        <w:t>omsättningen</w:t>
      </w:r>
      <w:r w:rsidR="006862FA">
        <w:t xml:space="preserve"> går till forskning. De</w:t>
      </w:r>
      <w:r w:rsidR="00945AB4">
        <w:t>t</w:t>
      </w:r>
      <w:r w:rsidR="006862FA">
        <w:t xml:space="preserve"> som premieras och </w:t>
      </w:r>
      <w:r w:rsidR="00945AB4">
        <w:t xml:space="preserve">framför allt </w:t>
      </w:r>
      <w:r w:rsidR="006862FA">
        <w:t xml:space="preserve">mäts i </w:t>
      </w:r>
      <w:r w:rsidR="00945AB4">
        <w:t>denna typ av mätningar</w:t>
      </w:r>
      <w:r w:rsidR="006862FA">
        <w:t xml:space="preserve"> är sålunda forskning</w:t>
      </w:r>
      <w:r w:rsidR="001865D6">
        <w:t xml:space="preserve"> med</w:t>
      </w:r>
      <w:r w:rsidR="002745B8">
        <w:t xml:space="preserve"> tydlig</w:t>
      </w:r>
      <w:r w:rsidR="001865D6">
        <w:t xml:space="preserve"> betoning på spets</w:t>
      </w:r>
      <w:r w:rsidR="006862FA">
        <w:t xml:space="preserve">. </w:t>
      </w:r>
    </w:p>
    <w:p w:rsidR="006862FA" w:rsidRDefault="006862FA" w:rsidP="004B5BF3"/>
    <w:p w:rsidR="009D6E56" w:rsidRDefault="009D6E56" w:rsidP="004B5BF3">
      <w:r>
        <w:t xml:space="preserve">I rankningar utvärderas forskning framför allt efter </w:t>
      </w:r>
      <w:r w:rsidR="00063548">
        <w:t>bibliometriskt</w:t>
      </w:r>
      <w:r>
        <w:t xml:space="preserve"> genomslag</w:t>
      </w:r>
      <w:r w:rsidR="00FD74F2">
        <w:t xml:space="preserve"> såsom fältnormerad citeringsgrad</w:t>
      </w:r>
      <w:r>
        <w:t>,</w:t>
      </w:r>
      <w:r w:rsidR="006862FA">
        <w:t xml:space="preserve"> baserat på antingen </w:t>
      </w:r>
      <w:r w:rsidR="00CF71BA">
        <w:t>W</w:t>
      </w:r>
      <w:r w:rsidR="006862FA">
        <w:t>eb of Science eller Scopus</w:t>
      </w:r>
      <w:r w:rsidR="008006DC">
        <w:t>. E</w:t>
      </w:r>
      <w:r w:rsidR="00063548">
        <w:t>n rad olika indikatorer</w:t>
      </w:r>
      <w:r w:rsidR="008006DC">
        <w:t xml:space="preserve"> används.</w:t>
      </w:r>
      <w:r>
        <w:t xml:space="preserve"> </w:t>
      </w:r>
      <w:r w:rsidR="008006DC">
        <w:t xml:space="preserve">Vid sidan av genomslagsmått används även </w:t>
      </w:r>
      <w:r w:rsidR="00063548">
        <w:t>prestationsmått som antal publiceringar per capita</w:t>
      </w:r>
      <w:r w:rsidR="008006DC">
        <w:t xml:space="preserve">, </w:t>
      </w:r>
      <w:r>
        <w:t>andel sampublicering</w:t>
      </w:r>
      <w:r w:rsidR="008006DC">
        <w:t xml:space="preserve"> och</w:t>
      </w:r>
      <w:r w:rsidR="00063548">
        <w:t xml:space="preserve"> volym (det sistnämnda måttet används dock inte av THE och QS</w:t>
      </w:r>
      <w:r w:rsidR="00945AB4">
        <w:t xml:space="preserve"> men är relativt populärt i asiatiska rankningar</w:t>
      </w:r>
      <w:r w:rsidR="00063548">
        <w:t>)</w:t>
      </w:r>
      <w:r w:rsidR="004B5BF3">
        <w:t>.</w:t>
      </w:r>
    </w:p>
    <w:p w:rsidR="004B5BF3" w:rsidRDefault="004B5BF3" w:rsidP="004B5BF3"/>
    <w:p w:rsidR="00EB7DBF" w:rsidRDefault="008E388E" w:rsidP="004B5BF3">
      <w:r>
        <w:t xml:space="preserve">För att forskningen skall bli citerad måste den hålla hög kvalitet, vara nydanande och vara synlig. </w:t>
      </w:r>
      <w:r w:rsidR="004B5BF3">
        <w:t xml:space="preserve">För detta krävs </w:t>
      </w:r>
      <w:r w:rsidR="00E0043B">
        <w:t>excellenta</w:t>
      </w:r>
      <w:r w:rsidR="004B5BF3">
        <w:t xml:space="preserve"> forskare, </w:t>
      </w:r>
      <w:r w:rsidR="00E0043B">
        <w:t>god</w:t>
      </w:r>
      <w:r w:rsidR="004B5BF3">
        <w:t xml:space="preserve"> finansiering, </w:t>
      </w:r>
      <w:r w:rsidR="00E0043B">
        <w:t>utmärkt</w:t>
      </w:r>
      <w:r w:rsidR="004B5BF3">
        <w:t xml:space="preserve"> infrastruktur och </w:t>
      </w:r>
      <w:r w:rsidR="006862FA">
        <w:t>möjlighet</w:t>
      </w:r>
      <w:r w:rsidR="004B5BF3">
        <w:t xml:space="preserve"> till nyfikenhetsdriven forskning. </w:t>
      </w:r>
      <w:r w:rsidR="006862FA">
        <w:t xml:space="preserve">På ett strukturellt plan gynnar detta forskningsintensiva miljöer, där mer än 70 procent av den arbetade tiden </w:t>
      </w:r>
      <w:r w:rsidR="002745B8">
        <w:t xml:space="preserve">omfattar </w:t>
      </w:r>
      <w:r w:rsidR="006862FA">
        <w:t>forskning, medan utbildnings</w:t>
      </w:r>
      <w:r w:rsidR="00E0043B">
        <w:t>tunga</w:t>
      </w:r>
      <w:r w:rsidR="006862FA">
        <w:t xml:space="preserve"> miljöer missgynnas. </w:t>
      </w:r>
    </w:p>
    <w:p w:rsidR="00EB7DBF" w:rsidRDefault="00EB7DBF" w:rsidP="004B5BF3"/>
    <w:p w:rsidR="0060698D" w:rsidRDefault="006862FA" w:rsidP="004B5BF3">
      <w:r>
        <w:t xml:space="preserve">Vill KTH </w:t>
      </w:r>
      <w:r w:rsidR="00EB7DBF">
        <w:t xml:space="preserve">verkligen </w:t>
      </w:r>
      <w:r>
        <w:t>vara ett riktigt högt ra</w:t>
      </w:r>
      <w:r w:rsidR="003E325F">
        <w:t>nkat universitet bör forskning</w:t>
      </w:r>
      <w:r>
        <w:t xml:space="preserve"> vara premierad framför utbildning. Detta </w:t>
      </w:r>
      <w:r w:rsidR="00EB7DBF">
        <w:t>innebär</w:t>
      </w:r>
      <w:r>
        <w:t xml:space="preserve"> bland annat att </w:t>
      </w:r>
      <w:r w:rsidR="0090768E">
        <w:t>omkring</w:t>
      </w:r>
      <w:r>
        <w:t xml:space="preserve"> 7</w:t>
      </w:r>
      <w:r w:rsidR="004402C2">
        <w:t>0</w:t>
      </w:r>
      <w:r>
        <w:t xml:space="preserve"> procent av den arbetade tiden </w:t>
      </w:r>
      <w:r w:rsidR="0090768E">
        <w:t xml:space="preserve">för fakultet </w:t>
      </w:r>
      <w:r>
        <w:t xml:space="preserve">berör </w:t>
      </w:r>
      <w:r w:rsidR="00EB7DBF">
        <w:t>forskning</w:t>
      </w:r>
      <w:r>
        <w:t xml:space="preserve"> och </w:t>
      </w:r>
      <w:r w:rsidR="004402C2">
        <w:t>30</w:t>
      </w:r>
      <w:r>
        <w:t xml:space="preserve"> procent utbildning. De som rekryteras bör framför allt vara </w:t>
      </w:r>
      <w:r w:rsidR="00EB7DBF">
        <w:t xml:space="preserve">internationellt </w:t>
      </w:r>
      <w:r>
        <w:t xml:space="preserve">lovande </w:t>
      </w:r>
      <w:r w:rsidR="00265D86">
        <w:t xml:space="preserve">relativt unga </w:t>
      </w:r>
      <w:r>
        <w:t>högciterade forskare som kan stärka redan starka befintliga forskningsmiljöer</w:t>
      </w:r>
      <w:r w:rsidR="00EB7DBF">
        <w:t xml:space="preserve"> på </w:t>
      </w:r>
      <w:r w:rsidR="00E41EBB">
        <w:t>KTH</w:t>
      </w:r>
      <w:r>
        <w:t>. Sett till rekryteringsförfarande bör sålunda forskningsmeritering vara</w:t>
      </w:r>
      <w:r w:rsidR="00E0043B">
        <w:t xml:space="preserve"> viktigare än utbildningsmeritering</w:t>
      </w:r>
      <w:r>
        <w:t xml:space="preserve">. </w:t>
      </w:r>
    </w:p>
    <w:p w:rsidR="004B5BF3" w:rsidRDefault="004B5BF3" w:rsidP="004B5BF3"/>
    <w:p w:rsidR="0060698D" w:rsidRDefault="004402C2" w:rsidP="0060698D">
      <w:pPr>
        <w:pStyle w:val="Rubrik2"/>
      </w:pPr>
      <w:bookmarkStart w:id="22" w:name="_Toc53410009"/>
      <w:r>
        <w:t>S</w:t>
      </w:r>
      <w:r w:rsidR="0060698D">
        <w:t>atsningar</w:t>
      </w:r>
      <w:r w:rsidR="00D40A91">
        <w:t xml:space="preserve"> på excellens</w:t>
      </w:r>
      <w:r w:rsidR="000403EF">
        <w:t xml:space="preserve"> och infrastruktur</w:t>
      </w:r>
      <w:bookmarkEnd w:id="22"/>
    </w:p>
    <w:p w:rsidR="004B5BF3" w:rsidRDefault="0090768E" w:rsidP="00C564F2">
      <w:r>
        <w:t>Som regel är högkvalitativ</w:t>
      </w:r>
      <w:r w:rsidR="00F86A85">
        <w:t>a</w:t>
      </w:r>
      <w:r>
        <w:t xml:space="preserve"> forskningsmiljöer högre citerade än lågkvalitativa. För att stärka forskningens genomslag är det möjligt att i</w:t>
      </w:r>
      <w:r w:rsidR="007438B2">
        <w:t>dentifiera talangfulla forskare och starka forskargrupper med syfte att göra särskilda satsning</w:t>
      </w:r>
      <w:r w:rsidR="00D40A91">
        <w:t xml:space="preserve">ar på dessa. </w:t>
      </w:r>
      <w:r w:rsidR="004B5BF3">
        <w:t>KTH bör också se över</w:t>
      </w:r>
      <w:r w:rsidR="00D40A91">
        <w:t xml:space="preserve"> möjligheten</w:t>
      </w:r>
      <w:r w:rsidR="007438B2">
        <w:t xml:space="preserve"> att få mellanskiktet av </w:t>
      </w:r>
      <w:r w:rsidR="00945AB4">
        <w:t xml:space="preserve">lärosätets </w:t>
      </w:r>
      <w:r w:rsidR="007438B2">
        <w:t>forskare att prestera bättre</w:t>
      </w:r>
      <w:r w:rsidR="007438B2" w:rsidRPr="00193C65">
        <w:t xml:space="preserve"> </w:t>
      </w:r>
      <w:r w:rsidR="007438B2">
        <w:t xml:space="preserve">samt </w:t>
      </w:r>
      <w:r w:rsidR="004B5BF3">
        <w:t xml:space="preserve">se över </w:t>
      </w:r>
      <w:r w:rsidR="007438B2">
        <w:t xml:space="preserve">forskargrupper med mindre bra kvalitet. </w:t>
      </w:r>
      <w:r w:rsidR="0060698D">
        <w:t xml:space="preserve">Här bör man </w:t>
      </w:r>
      <w:r w:rsidR="00D40A91">
        <w:t>överväga</w:t>
      </w:r>
      <w:r w:rsidR="0060698D">
        <w:t xml:space="preserve"> e</w:t>
      </w:r>
      <w:r w:rsidR="007438B2">
        <w:t xml:space="preserve">ventuell nedläggning av svaga forskningsgrupper som </w:t>
      </w:r>
      <w:r w:rsidR="00FB35C2">
        <w:t xml:space="preserve">både </w:t>
      </w:r>
      <w:r w:rsidR="007438B2">
        <w:t xml:space="preserve">saknar strategisk och utbildningsmässig betydelse. </w:t>
      </w:r>
    </w:p>
    <w:p w:rsidR="00C564F2" w:rsidRDefault="00C564F2" w:rsidP="00C564F2"/>
    <w:p w:rsidR="00945AB4" w:rsidRDefault="0090768E" w:rsidP="00B114BE">
      <w:r>
        <w:t xml:space="preserve">Det som citeras är relativt ofta nydanade forskning. För att få nya perspektiv och mer nydanade resultat är det befogat att satsa </w:t>
      </w:r>
      <w:r w:rsidR="007438B2">
        <w:t>på tvärvetenskap</w:t>
      </w:r>
      <w:r w:rsidR="00353815">
        <w:t xml:space="preserve"> samt utöka samarbetet mellan olika forskargrupper inom angränsande forskningsfält</w:t>
      </w:r>
      <w:r w:rsidR="00E0043B">
        <w:t>. D</w:t>
      </w:r>
      <w:r w:rsidR="00945AB4">
        <w:t>et är ofta i mötet mellan olika discipliner som nydanade forskning skapas</w:t>
      </w:r>
      <w:r w:rsidR="007438B2">
        <w:t>.</w:t>
      </w:r>
      <w:r w:rsidR="0060698D">
        <w:t xml:space="preserve"> </w:t>
      </w:r>
      <w:r w:rsidR="00B114BE">
        <w:t>Det är därmed viktigt att sammanfoga experter från olika områden</w:t>
      </w:r>
      <w:r w:rsidR="00B114BE" w:rsidRPr="00307AAB">
        <w:t xml:space="preserve"> </w:t>
      </w:r>
      <w:r w:rsidR="00B114BE">
        <w:t xml:space="preserve">och skapa mötesplatser </w:t>
      </w:r>
      <w:r w:rsidR="00410C85">
        <w:t xml:space="preserve">samt </w:t>
      </w:r>
      <w:r w:rsidR="00B114BE">
        <w:t>göra strategiska satsningar på internt samarbete</w:t>
      </w:r>
      <w:r w:rsidR="00410C85">
        <w:t>, exempelvis ett temaområde för energi,</w:t>
      </w:r>
      <w:r w:rsidR="00B114BE">
        <w:t xml:space="preserve"> som förenar olika discipliner</w:t>
      </w:r>
      <w:r w:rsidR="00B114BE" w:rsidRPr="00307AAB">
        <w:t xml:space="preserve"> </w:t>
      </w:r>
      <w:r w:rsidR="00B114BE">
        <w:t>över flera skolor.</w:t>
      </w:r>
      <w:r w:rsidR="00C268DE">
        <w:t xml:space="preserve"> Det är också viktigt att KTH håller sig väl framme i forskningsfronten och förmår att identifiera och satsa på de forskningsområden som är viktiga för framtiden. </w:t>
      </w:r>
    </w:p>
    <w:p w:rsidR="00E0043B" w:rsidRDefault="00E0043B" w:rsidP="0090768E"/>
    <w:p w:rsidR="0090768E" w:rsidRDefault="0090768E" w:rsidP="0090768E">
      <w:r>
        <w:t xml:space="preserve">För att stärka kvaliteten på publikationerna vore det möjligt att </w:t>
      </w:r>
      <w:r w:rsidR="00FB35C2">
        <w:t>t</w:t>
      </w:r>
      <w:r w:rsidR="007438B2">
        <w:t xml:space="preserve">a fram ett internt kvalitetsgranskningssystem på institutionsnivå. </w:t>
      </w:r>
      <w:r>
        <w:t xml:space="preserve">Härmed kan man lägga större vikt vid kvalitet </w:t>
      </w:r>
      <w:r w:rsidR="00FD74F2">
        <w:t>med syfte</w:t>
      </w:r>
      <w:r>
        <w:t xml:space="preserve"> att minska antalet mindre bra publikationer, som ofta är </w:t>
      </w:r>
      <w:r w:rsidR="00FB35C2">
        <w:t>anti</w:t>
      </w:r>
      <w:r w:rsidR="00AA00A2">
        <w:t>n</w:t>
      </w:r>
      <w:r w:rsidR="00FB35C2">
        <w:t xml:space="preserve">gen </w:t>
      </w:r>
      <w:r w:rsidR="000C4160">
        <w:t xml:space="preserve">ociterade eller lågt citerade. </w:t>
      </w:r>
      <w:r w:rsidR="004464F4">
        <w:t>KTH behöver sålunda</w:t>
      </w:r>
      <w:r w:rsidR="00317AF7">
        <w:t xml:space="preserve"> i sin publiceringskultur</w:t>
      </w:r>
      <w:r w:rsidR="000C4160">
        <w:t xml:space="preserve"> premiera kvalitet på bekostnad av volym. </w:t>
      </w:r>
    </w:p>
    <w:p w:rsidR="00353815" w:rsidRDefault="00353815" w:rsidP="00C564F2"/>
    <w:p w:rsidR="00F708A6" w:rsidRDefault="002745B8" w:rsidP="00C564F2">
      <w:r>
        <w:t>Införa s</w:t>
      </w:r>
      <w:r w:rsidR="00353815">
        <w:t xml:space="preserve">ärskild medfinansiering </w:t>
      </w:r>
      <w:r w:rsidR="008006DC">
        <w:t xml:space="preserve">från KTH centralt </w:t>
      </w:r>
      <w:r w:rsidR="00353815">
        <w:t xml:space="preserve">för </w:t>
      </w:r>
      <w:r w:rsidR="003D0961">
        <w:t xml:space="preserve">beviljade </w:t>
      </w:r>
      <w:r w:rsidR="00353815">
        <w:t xml:space="preserve">medel från högkvalitativa forskningsfinansiärer som ERC och VR. </w:t>
      </w:r>
    </w:p>
    <w:p w:rsidR="00A9325B" w:rsidRDefault="00A9325B" w:rsidP="00410C85"/>
    <w:p w:rsidR="00A9325B" w:rsidRDefault="00A9325B" w:rsidP="00A9325B">
      <w:r>
        <w:t>En förutsättning för att vara högt rankat är att ha en högkvalitativ infrastruktur</w:t>
      </w:r>
      <w:r w:rsidR="000C4160">
        <w:t xml:space="preserve">. </w:t>
      </w:r>
    </w:p>
    <w:p w:rsidR="002745B8" w:rsidRDefault="002745B8" w:rsidP="00A9325B"/>
    <w:p w:rsidR="00F708A6" w:rsidRDefault="00F708A6" w:rsidP="00A9325B">
      <w:r>
        <w:t xml:space="preserve">Inrätta ett råd bestående av KTH:s främsta professorer för att ta del av deras synpunkter på hur KTH skall kunna bedriva internationellt konkurrensmässig forskning. </w:t>
      </w:r>
    </w:p>
    <w:p w:rsidR="007438B2" w:rsidRDefault="007438B2" w:rsidP="00C564F2"/>
    <w:p w:rsidR="007438B2" w:rsidRDefault="007438B2" w:rsidP="007438B2">
      <w:pPr>
        <w:pStyle w:val="Rubrik2"/>
      </w:pPr>
      <w:bookmarkStart w:id="23" w:name="_Toc53410010"/>
      <w:r>
        <w:t>Förstärkning av fakultet</w:t>
      </w:r>
      <w:bookmarkEnd w:id="23"/>
    </w:p>
    <w:p w:rsidR="00B0706F" w:rsidRDefault="007438B2" w:rsidP="00D40A91">
      <w:r>
        <w:t xml:space="preserve">Värva högciterade forskare. En lyckad rekrytering av två till sju spetsforskare kan öka antalet citeringar med upp till en fjärdedel. I detta avseende är det rekommenderat att utnyttja kallelseförfarandet med målsättning att göra en topprekrytering inom ett strategiskt excellent område varje </w:t>
      </w:r>
      <w:r w:rsidR="00D40A91">
        <w:t xml:space="preserve">eller vartannat </w:t>
      </w:r>
      <w:r>
        <w:t xml:space="preserve">år. </w:t>
      </w:r>
      <w:r w:rsidR="00D40A91">
        <w:t>En annan åtgärd är att rekrytera</w:t>
      </w:r>
      <w:r>
        <w:t xml:space="preserve"> lovande relativt nydisputerade forskare me</w:t>
      </w:r>
      <w:r w:rsidR="00945AB4">
        <w:t xml:space="preserve">d potential att bli högciterade, som i fallet med de </w:t>
      </w:r>
      <w:r w:rsidR="00AA5395">
        <w:t>13</w:t>
      </w:r>
      <w:r w:rsidR="00945AB4">
        <w:t xml:space="preserve"> biträdande lektoraten som tillsattes </w:t>
      </w:r>
      <w:r w:rsidR="00AA5395">
        <w:t>2013-2016</w:t>
      </w:r>
      <w:r w:rsidR="00945AB4">
        <w:t>.</w:t>
      </w:r>
      <w:r>
        <w:t xml:space="preserve"> </w:t>
      </w:r>
    </w:p>
    <w:p w:rsidR="00B0706F" w:rsidRDefault="00B0706F" w:rsidP="00D40A91"/>
    <w:p w:rsidR="00945AB4" w:rsidRDefault="004464F4" w:rsidP="00D40A91">
      <w:r>
        <w:t>Utbyten med både inkommande (gästprofessorer etc</w:t>
      </w:r>
      <w:r w:rsidR="008E17D5">
        <w:t>.</w:t>
      </w:r>
      <w:r>
        <w:t xml:space="preserve">) och utgående fakultet och forskare stärker KTH:s synlighet, bidrar till ökat forskningssamarbete, kvaliteten på verksamheten och att stärka KTH:s värden i ryktesmätningarna samt möjligheten att bli citerad. </w:t>
      </w:r>
    </w:p>
    <w:p w:rsidR="00945AB4" w:rsidRDefault="00945AB4" w:rsidP="00D40A91"/>
    <w:p w:rsidR="00D40A91" w:rsidRDefault="00FB35C2" w:rsidP="00D40A91">
      <w:r>
        <w:t>Det är befogat att ta fram en s</w:t>
      </w:r>
      <w:r w:rsidR="007438B2">
        <w:t>nabbare rekryteringsprocess</w:t>
      </w:r>
      <w:r w:rsidR="003E325F">
        <w:t>, då KTH tappat kvalificerande sökande</w:t>
      </w:r>
      <w:r w:rsidR="00F86A85">
        <w:t xml:space="preserve"> på grund av lång handläggningstid</w:t>
      </w:r>
      <w:r w:rsidR="003E325F">
        <w:t>,</w:t>
      </w:r>
      <w:r w:rsidR="007438B2">
        <w:t xml:space="preserve"> </w:t>
      </w:r>
      <w:r w:rsidR="003E325F">
        <w:t>inklusive en</w:t>
      </w:r>
      <w:r w:rsidR="007438B2">
        <w:t xml:space="preserve"> bibliometrisk utvärdering av samtliga sökande.</w:t>
      </w:r>
      <w:r w:rsidR="00D40A91">
        <w:t xml:space="preserve"> </w:t>
      </w:r>
    </w:p>
    <w:p w:rsidR="00317AF7" w:rsidRDefault="00317AF7" w:rsidP="00D40A91"/>
    <w:p w:rsidR="00317AF7" w:rsidRDefault="00317AF7" w:rsidP="00317AF7">
      <w:r>
        <w:t xml:space="preserve">För att öka forskningens publiceringsmässiga genomslag kan tonvikt läggas </w:t>
      </w:r>
      <w:r w:rsidR="00995B53">
        <w:t>vid</w:t>
      </w:r>
      <w:r>
        <w:t xml:space="preserve"> rekrytering av postdocs på bekostnad av doktorander, då de förstnämndas forskning som regel är mer citerad än de senare</w:t>
      </w:r>
      <w:r w:rsidR="003D0961">
        <w:t>s</w:t>
      </w:r>
      <w:r>
        <w:t>.</w:t>
      </w:r>
    </w:p>
    <w:p w:rsidR="00317AF7" w:rsidRDefault="00317AF7" w:rsidP="00D40A91"/>
    <w:p w:rsidR="00D40A91" w:rsidRDefault="007438B2" w:rsidP="00D40A91">
      <w:r>
        <w:t>Erbjud plats inom Tenure track för forskare som exempelvis tilldelats ERC grants</w:t>
      </w:r>
      <w:r w:rsidR="003E325F">
        <w:t xml:space="preserve"> och andra former av likande prestationer</w:t>
      </w:r>
      <w:r>
        <w:t xml:space="preserve">. </w:t>
      </w:r>
      <w:r w:rsidR="00D40A91">
        <w:t>Denna åtgärd har till exempel tillämpats av Ludwig Maximilian universitetet</w:t>
      </w:r>
      <w:r w:rsidR="00E0043B">
        <w:t xml:space="preserve"> </w:t>
      </w:r>
      <w:r w:rsidR="00FD74F2">
        <w:t>i</w:t>
      </w:r>
      <w:r w:rsidR="00E0043B">
        <w:t xml:space="preserve"> München</w:t>
      </w:r>
      <w:r w:rsidR="00D40A91">
        <w:t>.</w:t>
      </w:r>
    </w:p>
    <w:p w:rsidR="00D40A91" w:rsidRDefault="00D40A91" w:rsidP="00D40A91"/>
    <w:p w:rsidR="003E325F" w:rsidRDefault="003E325F" w:rsidP="00D40A91">
      <w:r>
        <w:t xml:space="preserve">Behåll excellenta forskare som </w:t>
      </w:r>
      <w:r w:rsidR="003A0818">
        <w:t>gått i pension för att fortsatt del</w:t>
      </w:r>
      <w:r>
        <w:t>t</w:t>
      </w:r>
      <w:r w:rsidR="003A0818">
        <w:t>a</w:t>
      </w:r>
      <w:r>
        <w:t xml:space="preserve"> i </w:t>
      </w:r>
      <w:r w:rsidR="00F86A85">
        <w:t>arbetet på institutionen</w:t>
      </w:r>
      <w:r>
        <w:t>.</w:t>
      </w:r>
    </w:p>
    <w:p w:rsidR="00B114BE" w:rsidRDefault="00B114BE" w:rsidP="00D40A91"/>
    <w:p w:rsidR="00B114BE" w:rsidRDefault="00B114BE" w:rsidP="00B114BE">
      <w:pPr>
        <w:pStyle w:val="Rubrik2"/>
      </w:pPr>
      <w:bookmarkStart w:id="24" w:name="_Toc53410011"/>
      <w:r>
        <w:t>Satsningar på ledarskap</w:t>
      </w:r>
      <w:bookmarkEnd w:id="24"/>
    </w:p>
    <w:p w:rsidR="00B114BE" w:rsidRDefault="00B114BE" w:rsidP="00B114BE">
      <w:r>
        <w:t>En internationellt slagkraftig forskningsmiljö kräver ett handlingskraftigt ledarskap. KTH måste identifiera bra ledare samt satsa på framgångsrika chefer. En skicklig ledare måste vara förmögen att hantera toppforskare, få sin personal att publicera excellent forskning i framstående tidskrifter samt bedriva och utveckla verksamheten också i övrigt.</w:t>
      </w:r>
    </w:p>
    <w:p w:rsidR="00B57548" w:rsidRDefault="00B57548" w:rsidP="00B114BE"/>
    <w:p w:rsidR="00B57548" w:rsidRDefault="00B57548" w:rsidP="00B57548">
      <w:pPr>
        <w:pStyle w:val="Rubrik2"/>
      </w:pPr>
      <w:bookmarkStart w:id="25" w:name="_Toc53410012"/>
      <w:r>
        <w:t>Organisatoriska förändringar</w:t>
      </w:r>
      <w:bookmarkEnd w:id="25"/>
    </w:p>
    <w:p w:rsidR="003A0818" w:rsidRDefault="00B57548" w:rsidP="00D40A91">
      <w:r>
        <w:t xml:space="preserve">Se över organisationen </w:t>
      </w:r>
      <w:r w:rsidR="009D229E">
        <w:t>med</w:t>
      </w:r>
      <w:r>
        <w:t xml:space="preserve"> syfte att slå ihop institutioner </w:t>
      </w:r>
      <w:r w:rsidR="00212A3A">
        <w:t xml:space="preserve">alternativt flytta ihop grupperingar </w:t>
      </w:r>
      <w:r w:rsidR="00212A3A" w:rsidRPr="00212A3A">
        <w:t>med samma</w:t>
      </w:r>
      <w:r w:rsidR="00EC7BAB">
        <w:t xml:space="preserve"> eller liknande</w:t>
      </w:r>
      <w:r w:rsidR="00212A3A" w:rsidRPr="00212A3A">
        <w:t xml:space="preserve"> verksamhet på olika institutioner</w:t>
      </w:r>
      <w:r w:rsidR="00212A3A">
        <w:t xml:space="preserve"> </w:t>
      </w:r>
      <w:r>
        <w:t>med syfte att uppnå synergieffekter och ökad kritisk massa</w:t>
      </w:r>
      <w:r w:rsidR="008B0030">
        <w:t xml:space="preserve">. Härmed kan man </w:t>
      </w:r>
      <w:r w:rsidR="00212A3A">
        <w:rPr>
          <w:rFonts w:eastAsia="Times New Roman"/>
        </w:rPr>
        <w:t>undvika dubblerad verksamhet på olika institutioner och campusorter</w:t>
      </w:r>
      <w:r>
        <w:t>.</w:t>
      </w:r>
    </w:p>
    <w:p w:rsidR="00B57548" w:rsidRPr="007438B2" w:rsidRDefault="00B57548" w:rsidP="00D40A91"/>
    <w:p w:rsidR="007438B2" w:rsidRDefault="007438B2" w:rsidP="007438B2">
      <w:pPr>
        <w:pStyle w:val="Rubrik2"/>
      </w:pPr>
      <w:bookmarkStart w:id="26" w:name="_Toc53410013"/>
      <w:r>
        <w:t>Forskningssynlighet</w:t>
      </w:r>
      <w:bookmarkEnd w:id="26"/>
    </w:p>
    <w:p w:rsidR="00FB35C2" w:rsidRDefault="00FB35C2" w:rsidP="001333FB">
      <w:r>
        <w:t>Arbete pågår med att t</w:t>
      </w:r>
      <w:r w:rsidR="001333FB">
        <w:t xml:space="preserve">a fram en publiceringsstrategi </w:t>
      </w:r>
      <w:r>
        <w:t>för varje</w:t>
      </w:r>
      <w:r w:rsidR="001333FB">
        <w:t xml:space="preserve"> institution. </w:t>
      </w:r>
      <w:r w:rsidR="00B0706F">
        <w:t>KTH forskare bör</w:t>
      </w:r>
      <w:r w:rsidR="001333FB">
        <w:t xml:space="preserve"> främst </w:t>
      </w:r>
      <w:r w:rsidR="00B0706F">
        <w:t xml:space="preserve">publicera </w:t>
      </w:r>
      <w:r w:rsidR="001333FB">
        <w:t>i</w:t>
      </w:r>
      <w:r>
        <w:t xml:space="preserve"> högkvalitativa</w:t>
      </w:r>
      <w:r w:rsidR="001333FB">
        <w:t xml:space="preserve"> </w:t>
      </w:r>
      <w:r w:rsidR="008A6951">
        <w:t>tidskrifter</w:t>
      </w:r>
      <w:r w:rsidR="00B0706F">
        <w:t xml:space="preserve"> inom sitt eget fält</w:t>
      </w:r>
      <w:r>
        <w:t>, det vill säga High Impact Journals,</w:t>
      </w:r>
      <w:r w:rsidR="001333FB">
        <w:t xml:space="preserve"> som finns indexerade i Web of</w:t>
      </w:r>
      <w:r w:rsidR="003A0818">
        <w:t xml:space="preserve"> Science och Scopus samt utöka sin </w:t>
      </w:r>
      <w:r w:rsidR="001333FB">
        <w:t xml:space="preserve">publicering i Open Access. </w:t>
      </w:r>
      <w:r w:rsidR="00B0706F">
        <w:t>Open Acess publikationer är lättillgängliga</w:t>
      </w:r>
      <w:r w:rsidR="003A0818">
        <w:t>, stimuler</w:t>
      </w:r>
      <w:r w:rsidR="00AA00A2">
        <w:t>a</w:t>
      </w:r>
      <w:r w:rsidR="00353815">
        <w:t>r</w:t>
      </w:r>
      <w:r w:rsidR="00AA00A2">
        <w:t xml:space="preserve"> </w:t>
      </w:r>
      <w:r w:rsidR="003A0818">
        <w:t>synlighet</w:t>
      </w:r>
      <w:r w:rsidR="00B0706F">
        <w:t xml:space="preserve"> och underlättar </w:t>
      </w:r>
      <w:r w:rsidR="00564242">
        <w:t>alltså</w:t>
      </w:r>
      <w:r w:rsidR="00B0706F">
        <w:t xml:space="preserve"> möjligheten att bli citerad. </w:t>
      </w:r>
    </w:p>
    <w:p w:rsidR="001F1E75" w:rsidRDefault="001F1E75" w:rsidP="001333FB"/>
    <w:p w:rsidR="009C50B6" w:rsidRDefault="001F1E75" w:rsidP="001333FB">
      <w:r>
        <w:t xml:space="preserve">Genomföra </w:t>
      </w:r>
      <w:r w:rsidR="00DB58CF">
        <w:t xml:space="preserve">ytterligare </w:t>
      </w:r>
      <w:r>
        <w:t>informationsåtgärder</w:t>
      </w:r>
      <w:r w:rsidR="001333FB">
        <w:t xml:space="preserve"> </w:t>
      </w:r>
      <w:r>
        <w:t>riktade</w:t>
      </w:r>
      <w:r w:rsidR="00333E6B">
        <w:t xml:space="preserve"> mot KTH:s institutioner </w:t>
      </w:r>
      <w:r w:rsidR="009D73D1">
        <w:t>som berör</w:t>
      </w:r>
      <w:r w:rsidR="007438B2">
        <w:t xml:space="preserve"> rank</w:t>
      </w:r>
      <w:r w:rsidR="003A0818">
        <w:t>ning, publicering och bibliometri.</w:t>
      </w:r>
    </w:p>
    <w:p w:rsidR="007438B2" w:rsidRDefault="007438B2" w:rsidP="001333FB"/>
    <w:p w:rsidR="00AA5395" w:rsidRDefault="0060698D" w:rsidP="001333FB">
      <w:r>
        <w:t>Identifiera framstående internationella forskningsn</w:t>
      </w:r>
      <w:r w:rsidRPr="000D29CE">
        <w:t>ätverk</w:t>
      </w:r>
      <w:r>
        <w:t xml:space="preserve"> med syfte att inleda samarbete med dessa</w:t>
      </w:r>
      <w:r w:rsidR="00E0043B">
        <w:t>. Detta</w:t>
      </w:r>
      <w:r w:rsidR="003A0818">
        <w:t xml:space="preserve"> stimulerar forskningens kvalitet, synlighet och genomslag</w:t>
      </w:r>
      <w:r>
        <w:t xml:space="preserve">. </w:t>
      </w:r>
    </w:p>
    <w:p w:rsidR="00D40A91" w:rsidRDefault="00D40A91" w:rsidP="001333FB"/>
    <w:p w:rsidR="0060698D" w:rsidRDefault="0060698D" w:rsidP="001333FB">
      <w:r>
        <w:t>Öka graden av internationell sampublicering.</w:t>
      </w:r>
      <w:r w:rsidR="00D40A91">
        <w:t xml:space="preserve"> Generellt är de internationellt sampublicerade artiklarna 25 procent mer citerade än de nationella. </w:t>
      </w:r>
      <w:r w:rsidR="00B0706F">
        <w:t xml:space="preserve">Genom att samarbeta </w:t>
      </w:r>
      <w:r w:rsidR="00353815">
        <w:t xml:space="preserve">med </w:t>
      </w:r>
      <w:r w:rsidR="00B0706F">
        <w:t>framför allt internationellt framstående forskningsmiljöer är det möjligt att öka citeringsgraden och lärosätets</w:t>
      </w:r>
      <w:r w:rsidR="00495D35">
        <w:t xml:space="preserve"> och forskningens</w:t>
      </w:r>
      <w:r w:rsidR="00B0706F">
        <w:t xml:space="preserve"> synlighet.</w:t>
      </w:r>
      <w:r w:rsidR="00490CC6">
        <w:t xml:space="preserve"> </w:t>
      </w:r>
    </w:p>
    <w:p w:rsidR="004464F4" w:rsidRDefault="004464F4" w:rsidP="003A0818"/>
    <w:p w:rsidR="004464F4" w:rsidRDefault="004464F4" w:rsidP="003A0818">
      <w:r>
        <w:t xml:space="preserve">Arrangera konferenser på KTH med stor synlighet inom fältet samt att KTH forskare deltar i internationellt ledande konferenser inom sitt forskningsområde. Detta påverkar bland annat ryktesmätningarna samt ökar möjligheten till citering. </w:t>
      </w:r>
    </w:p>
    <w:p w:rsidR="00D40A91" w:rsidRDefault="00D40A91" w:rsidP="001333FB"/>
    <w:p w:rsidR="00B114BE" w:rsidRDefault="00B114BE" w:rsidP="00B114BE">
      <w:r>
        <w:t xml:space="preserve">Det är tidskrävande att söka externa medel som därmed tar tid från forskning, utbildning och samverkan etc. Det borde därmed i högre grad finnas interna eller externa specialister som skriver forskningsansökningar, något som sannolikt på sikt skulle ge en ökad beviljandegrad. En åtgärd som bland annat visat sig vara framgångsrik på DTU. </w:t>
      </w:r>
    </w:p>
    <w:p w:rsidR="00B114BE" w:rsidRDefault="00B114BE" w:rsidP="001333FB"/>
    <w:p w:rsidR="007438B2" w:rsidRDefault="007438B2" w:rsidP="007438B2">
      <w:pPr>
        <w:pStyle w:val="Rubrik2"/>
      </w:pPr>
      <w:bookmarkStart w:id="27" w:name="_Toc53410014"/>
      <w:r>
        <w:t>Kvalitetsutvärderingar</w:t>
      </w:r>
      <w:bookmarkEnd w:id="27"/>
    </w:p>
    <w:p w:rsidR="00283831" w:rsidRDefault="007438B2" w:rsidP="007438B2">
      <w:r>
        <w:t xml:space="preserve">Ledande tekniska universitet som Nanyang och MIT har återkommande utvärderingar av utbildning och forskning. För att säkerställa att KTH:s utbildning och forskning håller världsklass bör de utvärderas med jämna mellanrum och omfattas av ett tydligt förbättringsarbete med ekonomisk belöning för dem som presterar bra. </w:t>
      </w:r>
    </w:p>
    <w:p w:rsidR="00791544" w:rsidRDefault="00791544" w:rsidP="007438B2"/>
    <w:p w:rsidR="00283831" w:rsidRDefault="00283831" w:rsidP="007438B2">
      <w:r>
        <w:t>Ett internt kvalitetssystem har tagits fram och s</w:t>
      </w:r>
      <w:r>
        <w:rPr>
          <w:rFonts w:eastAsia="Times New Roman"/>
        </w:rPr>
        <w:t>om är uppbyggt kring regelbunden granskning och kontinuerlig uppföljning av</w:t>
      </w:r>
      <w:r>
        <w:t xml:space="preserve"> </w:t>
      </w:r>
      <w:r>
        <w:rPr>
          <w:rFonts w:eastAsia="Times New Roman"/>
        </w:rPr>
        <w:t>utbildning, forskning och samverkan</w:t>
      </w:r>
      <w:r>
        <w:t xml:space="preserve">. </w:t>
      </w:r>
    </w:p>
    <w:p w:rsidR="00533F4B" w:rsidRDefault="00533F4B" w:rsidP="007438B2"/>
    <w:p w:rsidR="00533F4B" w:rsidRDefault="00533F4B" w:rsidP="007438B2">
      <w:r>
        <w:t>I samband med RAE 2021 bör betydelsen av bibliometri och rankningar unders</w:t>
      </w:r>
      <w:r w:rsidR="00C36490">
        <w:t>trykas i såväl självvärderingar som</w:t>
      </w:r>
      <w:r>
        <w:t xml:space="preserve"> i instruktioner till expertpaneler. </w:t>
      </w:r>
      <w:r w:rsidR="00EB0649">
        <w:t xml:space="preserve">I samband med uppföljningsarbetet till RAE 2021 finns god möjlighet att ta fram konkreta åtgärder för att stärka forskningens </w:t>
      </w:r>
      <w:r w:rsidR="00A37378">
        <w:t xml:space="preserve">kvalitet och </w:t>
      </w:r>
      <w:r w:rsidR="00EB0649">
        <w:t xml:space="preserve">internationella konkurrenskraft. </w:t>
      </w:r>
    </w:p>
    <w:p w:rsidR="00D40A91" w:rsidRDefault="00D40A91" w:rsidP="007438B2"/>
    <w:p w:rsidR="007438B2" w:rsidRDefault="007438B2" w:rsidP="007438B2">
      <w:r>
        <w:t xml:space="preserve">Ett bibliometriskt utvärderingsverktyg benämnt Årlig bibliometrisk uppföljning (ÅBU) har tagits fram, där man kan följa hur KTH presterar i en rad bibliometriska indikatorer för KTH som helhet, skola, institution och på individnivå. </w:t>
      </w:r>
    </w:p>
    <w:p w:rsidR="007438B2" w:rsidRDefault="007438B2" w:rsidP="007438B2"/>
    <w:p w:rsidR="007438B2" w:rsidRDefault="007438B2" w:rsidP="007438B2">
      <w:pPr>
        <w:pStyle w:val="Rubrik2"/>
      </w:pPr>
      <w:bookmarkStart w:id="28" w:name="_Toc53410015"/>
      <w:r>
        <w:t>Resursfördelning/ belöningar</w:t>
      </w:r>
      <w:bookmarkEnd w:id="28"/>
    </w:p>
    <w:p w:rsidR="007438B2" w:rsidRDefault="007438B2" w:rsidP="007438B2">
      <w:r>
        <w:t xml:space="preserve">Utökad prestationsmässig resurstilldelning baserad på bibliometriska indikatorer. </w:t>
      </w:r>
    </w:p>
    <w:p w:rsidR="00353815" w:rsidRDefault="00353815" w:rsidP="007438B2"/>
    <w:p w:rsidR="00FB35C2" w:rsidRDefault="00FB35C2" w:rsidP="007438B2">
      <w:r>
        <w:t xml:space="preserve">Ta fram en </w:t>
      </w:r>
      <w:r w:rsidR="00F86A85">
        <w:t xml:space="preserve">ny </w:t>
      </w:r>
      <w:r w:rsidR="00A347F8">
        <w:t>resursfördelning</w:t>
      </w:r>
      <w:r>
        <w:t xml:space="preserve"> som på sikt gynnar excellens och starka forskningsmiljöer</w:t>
      </w:r>
      <w:r w:rsidR="00353815">
        <w:t xml:space="preserve"> med stärkt basfinansiering</w:t>
      </w:r>
      <w:r>
        <w:t>.</w:t>
      </w:r>
    </w:p>
    <w:p w:rsidR="003D0961" w:rsidRDefault="003D0961" w:rsidP="007438B2"/>
    <w:p w:rsidR="003D0961" w:rsidRDefault="003D0961" w:rsidP="007438B2">
      <w:r>
        <w:t xml:space="preserve">Rapporten </w:t>
      </w:r>
      <w:r w:rsidRPr="003D0961">
        <w:rPr>
          <w:i/>
        </w:rPr>
        <w:t xml:space="preserve">Forskningskvalitet, effektivitet och extern finansiering </w:t>
      </w:r>
      <w:r>
        <w:t xml:space="preserve">pekar </w:t>
      </w:r>
      <w:r w:rsidR="00EC7BAB">
        <w:t xml:space="preserve">bland annat </w:t>
      </w:r>
      <w:r>
        <w:t>på att en ökad basfinansiering från regeringen på sikt skulle medföra ökad citeringsgrad</w:t>
      </w:r>
      <w:r w:rsidR="00FE3D95">
        <w:t xml:space="preserve">, då det </w:t>
      </w:r>
      <w:r w:rsidR="00C36490">
        <w:t xml:space="preserve">enligt denna rapport </w:t>
      </w:r>
      <w:r w:rsidR="00FE3D95">
        <w:t>finns en korrelation mellan resurser och citering</w:t>
      </w:r>
      <w:r>
        <w:t xml:space="preserve">. </w:t>
      </w:r>
    </w:p>
    <w:p w:rsidR="00353815" w:rsidRDefault="00353815" w:rsidP="007438B2"/>
    <w:p w:rsidR="00353815" w:rsidRDefault="00A37378" w:rsidP="00353815">
      <w:r>
        <w:t>Utdela e</w:t>
      </w:r>
      <w:r w:rsidR="00353815">
        <w:t>konomisk belöning för högciterade pek.</w:t>
      </w:r>
    </w:p>
    <w:p w:rsidR="007438B2" w:rsidRDefault="007438B2" w:rsidP="007438B2"/>
    <w:p w:rsidR="007438B2" w:rsidRPr="006C7106" w:rsidRDefault="007438B2" w:rsidP="007438B2">
      <w:pPr>
        <w:pStyle w:val="Rubrik2"/>
      </w:pPr>
      <w:bookmarkStart w:id="29" w:name="_Toc53410016"/>
      <w:r>
        <w:lastRenderedPageBreak/>
        <w:t>Forskningsinstitut</w:t>
      </w:r>
      <w:bookmarkEnd w:id="29"/>
    </w:p>
    <w:p w:rsidR="007438B2" w:rsidRDefault="00A37378" w:rsidP="00C564F2">
      <w:r>
        <w:t>Genomföra n</w:t>
      </w:r>
      <w:r w:rsidR="007438B2">
        <w:t xml:space="preserve">ärmare samarbete med forskningsinstitut enligt Fraunhofermodellen. </w:t>
      </w:r>
    </w:p>
    <w:p w:rsidR="007438B2" w:rsidRPr="009C50B6" w:rsidRDefault="007438B2" w:rsidP="001333FB"/>
    <w:p w:rsidR="009C50B6" w:rsidRDefault="009C50B6" w:rsidP="009C7A4C">
      <w:pPr>
        <w:pStyle w:val="Rubrik1"/>
      </w:pPr>
      <w:bookmarkStart w:id="30" w:name="_Toc53410017"/>
      <w:r w:rsidRPr="009C50B6">
        <w:t>Utbildning</w:t>
      </w:r>
      <w:bookmarkEnd w:id="30"/>
    </w:p>
    <w:p w:rsidR="000912B7" w:rsidRDefault="00AF283D" w:rsidP="009E1AB4">
      <w:r>
        <w:t>Framför allt p</w:t>
      </w:r>
      <w:r w:rsidR="00BC5B28">
        <w:t xml:space="preserve">å grund av svårigheter med att på ett enkelt och rättvisande sätt jämföra utbildning världen runt har utbildning en sekundär betydelse i de ledande rankningarna. </w:t>
      </w:r>
      <w:r w:rsidR="000912B7">
        <w:t xml:space="preserve">I både THE </w:t>
      </w:r>
      <w:r w:rsidR="00A9325B">
        <w:t xml:space="preserve">och </w:t>
      </w:r>
      <w:r w:rsidR="000912B7">
        <w:t xml:space="preserve">QS bedöms utbildning efter ryktesmätningar </w:t>
      </w:r>
      <w:r w:rsidR="008A6951">
        <w:t>samt</w:t>
      </w:r>
      <w:r w:rsidR="000912B7">
        <w:t xml:space="preserve"> prestations</w:t>
      </w:r>
      <w:r w:rsidR="00BC5B28">
        <w:t>-</w:t>
      </w:r>
      <w:r w:rsidR="000912B7">
        <w:t xml:space="preserve"> och andelsmått. I THE har ryktesmätning avseende utbildning stor betydelse, hela 15 procent av det </w:t>
      </w:r>
      <w:r w:rsidR="00BC5B28">
        <w:t xml:space="preserve">totala </w:t>
      </w:r>
      <w:r w:rsidR="000912B7">
        <w:t xml:space="preserve">antalet poäng. </w:t>
      </w:r>
    </w:p>
    <w:p w:rsidR="000912B7" w:rsidRDefault="000912B7" w:rsidP="009E1AB4"/>
    <w:p w:rsidR="00AF283D" w:rsidRDefault="00BC5B28" w:rsidP="00BC5B28">
      <w:r>
        <w:t>För att hävda sig i rankningarna bör man ha</w:t>
      </w:r>
      <w:r w:rsidR="00A347F8">
        <w:t xml:space="preserve"> en h</w:t>
      </w:r>
      <w:r w:rsidR="00AE51D9">
        <w:t>ög andel studenter på avancerad ni</w:t>
      </w:r>
      <w:r w:rsidR="009E1AB4">
        <w:t>vå</w:t>
      </w:r>
      <w:r w:rsidR="00A347F8">
        <w:t xml:space="preserve"> </w:t>
      </w:r>
      <w:r w:rsidR="00353815">
        <w:t xml:space="preserve">(såsom MIT etc.) </w:t>
      </w:r>
      <w:r>
        <w:t>och en</w:t>
      </w:r>
      <w:r w:rsidR="00A347F8">
        <w:t xml:space="preserve"> f</w:t>
      </w:r>
      <w:r w:rsidR="00AE51D9">
        <w:t>örbättrad genomströmning på forskarutbildningen.</w:t>
      </w:r>
      <w:r w:rsidR="00A347F8">
        <w:t xml:space="preserve"> </w:t>
      </w:r>
      <w:r>
        <w:t>KTH bör b</w:t>
      </w:r>
      <w:r w:rsidR="00A347F8">
        <w:t xml:space="preserve">ibehålla en fortsatt hög produktion av </w:t>
      </w:r>
      <w:r>
        <w:t>doktors- och licentiatexamina samt h</w:t>
      </w:r>
      <w:r w:rsidR="00A347F8">
        <w:t>a en hög</w:t>
      </w:r>
      <w:r w:rsidR="009E1AB4">
        <w:t xml:space="preserve"> lärartäthet. </w:t>
      </w:r>
    </w:p>
    <w:p w:rsidR="00AF283D" w:rsidRDefault="00AF283D" w:rsidP="00BC5B28"/>
    <w:p w:rsidR="00353815" w:rsidRDefault="00A347F8" w:rsidP="00BC5B28">
      <w:r>
        <w:t>Vid doktorsavhandlingar ta</w:t>
      </w:r>
      <w:r w:rsidR="00AE51D9">
        <w:t xml:space="preserve"> bort praxisen att det krävs fyra publikationer</w:t>
      </w:r>
      <w:r w:rsidR="00CA7900">
        <w:t xml:space="preserve"> (eller fler)</w:t>
      </w:r>
      <w:r w:rsidR="00AE51D9">
        <w:t xml:space="preserve"> för att disputera</w:t>
      </w:r>
      <w:r>
        <w:t xml:space="preserve"> och </w:t>
      </w:r>
      <w:r w:rsidR="00BC5B28">
        <w:t xml:space="preserve">istället </w:t>
      </w:r>
      <w:r>
        <w:t>nöja sig</w:t>
      </w:r>
      <w:r w:rsidR="009E1AB4">
        <w:t xml:space="preserve"> med </w:t>
      </w:r>
      <w:r w:rsidR="00353815">
        <w:t>två till tre</w:t>
      </w:r>
      <w:r w:rsidR="009E1AB4">
        <w:t xml:space="preserve"> bra publikationer. </w:t>
      </w:r>
      <w:r w:rsidR="004464F4">
        <w:t>Härmed kan man minska doktorandernas andel av KTH:s totala publikationsvolym</w:t>
      </w:r>
      <w:r w:rsidR="003B74A5">
        <w:t xml:space="preserve"> samt öka kvaliteten på det som publiceras</w:t>
      </w:r>
      <w:r w:rsidR="004464F4">
        <w:t>.</w:t>
      </w:r>
    </w:p>
    <w:p w:rsidR="00353815" w:rsidRDefault="00353815" w:rsidP="00BC5B28"/>
    <w:p w:rsidR="00353815" w:rsidRDefault="000912B7" w:rsidP="00BC5B28">
      <w:r>
        <w:t>Utfärda färre</w:t>
      </w:r>
      <w:r w:rsidR="009E1AB4">
        <w:t xml:space="preserve"> kandidatexamina</w:t>
      </w:r>
      <w:r>
        <w:t>.</w:t>
      </w:r>
      <w:r w:rsidR="00BC5B28" w:rsidRPr="00BC5B28">
        <w:t xml:space="preserve"> </w:t>
      </w:r>
      <w:r w:rsidR="00F670AF">
        <w:t>I samband med bolognaprocessen anpassades utbildningen enligt tre plus två för att öka anställningsbarhet och studentmobilitet. Studenterna har dock inte i särskilt hög grad utnyttja</w:t>
      </w:r>
      <w:r w:rsidR="00C031FA">
        <w:t>t</w:t>
      </w:r>
      <w:r w:rsidR="00F670AF">
        <w:t xml:space="preserve"> </w:t>
      </w:r>
      <w:r w:rsidR="004F5B9D">
        <w:t>möjligheten till ökad mobilitet</w:t>
      </w:r>
      <w:r w:rsidR="00F670AF">
        <w:t xml:space="preserve">. Det kan därmed vara befogat att se över utbildningsstrukturen med obligatoriska kandidatuppsatser, vilket kan få </w:t>
      </w:r>
      <w:r w:rsidR="00066210">
        <w:t>följden</w:t>
      </w:r>
      <w:r w:rsidR="00F670AF">
        <w:t xml:space="preserve"> att färre studenter tar ut en kandidatexamen. </w:t>
      </w:r>
    </w:p>
    <w:p w:rsidR="00353815" w:rsidRDefault="00353815" w:rsidP="00BC5B28"/>
    <w:p w:rsidR="009C50B6" w:rsidRDefault="00946EB0" w:rsidP="00BC5B28">
      <w:r>
        <w:t xml:space="preserve">En ny granskning som EAE skulle </w:t>
      </w:r>
      <w:r w:rsidR="00884D3B">
        <w:t>stimulera</w:t>
      </w:r>
      <w:r>
        <w:t xml:space="preserve"> förbättrad kvalitet och </w:t>
      </w:r>
      <w:r w:rsidR="00884D3B">
        <w:t>fungera</w:t>
      </w:r>
      <w:r>
        <w:t xml:space="preserve"> som reklam för KTH:s utbildningar bland </w:t>
      </w:r>
      <w:r w:rsidR="00E0043B">
        <w:t xml:space="preserve">internationella </w:t>
      </w:r>
      <w:r>
        <w:t>forskare</w:t>
      </w:r>
      <w:r w:rsidR="004464F4">
        <w:t xml:space="preserve"> och lärare</w:t>
      </w:r>
      <w:r>
        <w:t>, som kan vara till nytta i ryktesmätningarna.</w:t>
      </w:r>
    </w:p>
    <w:p w:rsidR="00186C80" w:rsidRDefault="00186C80" w:rsidP="00BC5B28"/>
    <w:p w:rsidR="00186C80" w:rsidRDefault="00186C80" w:rsidP="00BC5B28">
      <w:r>
        <w:t>Moocar</w:t>
      </w:r>
      <w:r w:rsidR="00A45BAF">
        <w:t xml:space="preserve"> bidrar till synlighet och attraherar studenter att söka KTH:s utbildningar. EPFL satsning på moocar har </w:t>
      </w:r>
      <w:r w:rsidR="00E0043B">
        <w:t xml:space="preserve">exempelvis </w:t>
      </w:r>
      <w:r w:rsidR="00AA00A2">
        <w:t>varit framgångsrik</w:t>
      </w:r>
      <w:r w:rsidR="00A45BAF">
        <w:t xml:space="preserve"> och bidragit till att stärka detta universitets rykte och påverkat söktrycket till EPFL:s utbildningar. </w:t>
      </w:r>
      <w:r w:rsidR="00F775FD">
        <w:t xml:space="preserve">KTH är störst på moocar i Sverige </w:t>
      </w:r>
      <w:r w:rsidR="00BC701B">
        <w:t>m</w:t>
      </w:r>
      <w:r w:rsidR="006E0E5F">
        <w:t>ed cirka 16-17 kurser</w:t>
      </w:r>
      <w:r w:rsidR="00F775FD">
        <w:t xml:space="preserve">. </w:t>
      </w:r>
    </w:p>
    <w:p w:rsidR="00B114BE" w:rsidRDefault="00B114BE" w:rsidP="00BC5B28"/>
    <w:p w:rsidR="00B114BE" w:rsidRDefault="00B114BE" w:rsidP="00BC5B28">
      <w:r>
        <w:t xml:space="preserve">Det är viktigt att ha ett masterprogram i ämnen där forskningen håller hög klass, något som attraherar betalande studenter och internationell talang. Detta säkerställer på sikt framtida rekrytering och tillgång till forskare inom området. </w:t>
      </w:r>
    </w:p>
    <w:p w:rsidR="00D2534D" w:rsidRDefault="00D2534D" w:rsidP="00BC5B28"/>
    <w:p w:rsidR="00D2534D" w:rsidRDefault="00D2534D" w:rsidP="00BC5B28">
      <w:r>
        <w:t>Återinvestera intäkter från betalande studenter i excellenta miljöer.</w:t>
      </w:r>
      <w:r w:rsidR="00F778AA">
        <w:t xml:space="preserve"> Detta g</w:t>
      </w:r>
      <w:r w:rsidR="00E736E4">
        <w:t>enomför</w:t>
      </w:r>
      <w:r w:rsidR="00A37378">
        <w:t>de</w:t>
      </w:r>
      <w:r w:rsidR="00E736E4">
        <w:t xml:space="preserve">s 2019 med en bred satsning på masterutbildningarna. För att få önskvärt genomslag är det viktigt att satsningen följs upp och att åtgärder verkligen genomförs. </w:t>
      </w:r>
    </w:p>
    <w:p w:rsidR="00D40A91" w:rsidRDefault="00D40A91" w:rsidP="009E1AB4"/>
    <w:p w:rsidR="00406D3F" w:rsidRDefault="00406D3F" w:rsidP="009E1AB4">
      <w:r>
        <w:t xml:space="preserve">Underlätta för KTH-studenter att inom ramen för </w:t>
      </w:r>
      <w:r w:rsidR="00A67CE8">
        <w:t>sin utbildning</w:t>
      </w:r>
      <w:r>
        <w:t xml:space="preserve"> få bättre möjlighet till internationellt utbyte och tillgodogöra sig de poäng som tagits vid gästande universitet. </w:t>
      </w:r>
    </w:p>
    <w:p w:rsidR="00031FB1" w:rsidRPr="009C50B6" w:rsidRDefault="00031FB1" w:rsidP="009E1AB4"/>
    <w:p w:rsidR="009C50B6" w:rsidRDefault="009C50B6" w:rsidP="009C7A4C">
      <w:pPr>
        <w:pStyle w:val="Rubrik1"/>
      </w:pPr>
      <w:bookmarkStart w:id="31" w:name="_Toc53410018"/>
      <w:r w:rsidRPr="009C50B6">
        <w:t>Internationalisering</w:t>
      </w:r>
      <w:bookmarkEnd w:id="31"/>
    </w:p>
    <w:p w:rsidR="009C7A4C" w:rsidRDefault="00BC5B28" w:rsidP="009C7A4C">
      <w:r>
        <w:t>En hög andel internationella studenter är en fördel i både THE och QS. KTH har en förhållandevis hög</w:t>
      </w:r>
      <w:r w:rsidR="008B0030">
        <w:t>, drygt 20 procent,</w:t>
      </w:r>
      <w:r>
        <w:t xml:space="preserve"> andel internationella studenter</w:t>
      </w:r>
      <w:r w:rsidR="009C7A4C">
        <w:t>.</w:t>
      </w:r>
      <w:r w:rsidR="009B1143">
        <w:t xml:space="preserve"> Antalet betalande studenter har ökat och andelen internationella doktorander är </w:t>
      </w:r>
      <w:r w:rsidR="008B0030">
        <w:t xml:space="preserve">fortsatt </w:t>
      </w:r>
      <w:r w:rsidR="009B1143">
        <w:t xml:space="preserve">hög. </w:t>
      </w:r>
    </w:p>
    <w:p w:rsidR="009B1143" w:rsidRDefault="009B1143" w:rsidP="009C7A4C"/>
    <w:p w:rsidR="009C7A4C" w:rsidRDefault="00BC5B28" w:rsidP="009C7A4C">
      <w:r>
        <w:lastRenderedPageBreak/>
        <w:t>KTH har en mycket hög andel internationella lärare och f</w:t>
      </w:r>
      <w:r w:rsidR="00A45BAF">
        <w:t>orskare,</w:t>
      </w:r>
      <w:r w:rsidR="008B0030">
        <w:t xml:space="preserve"> </w:t>
      </w:r>
      <w:r w:rsidR="00995B53">
        <w:t xml:space="preserve">drygt </w:t>
      </w:r>
      <w:r w:rsidR="008B0030">
        <w:t>37 procent har utländsk bakgrund,</w:t>
      </w:r>
      <w:r w:rsidR="00A45BAF">
        <w:t xml:space="preserve"> men denna andel är </w:t>
      </w:r>
      <w:r>
        <w:t>möjlig att utöka</w:t>
      </w:r>
      <w:r w:rsidR="009B1143">
        <w:t xml:space="preserve">, framför allt med </w:t>
      </w:r>
      <w:r w:rsidR="00E0043B">
        <w:t xml:space="preserve">internationell </w:t>
      </w:r>
      <w:r w:rsidR="009B1143">
        <w:t>spetskompetens</w:t>
      </w:r>
      <w:r>
        <w:t>.</w:t>
      </w:r>
    </w:p>
    <w:p w:rsidR="00BC5B28" w:rsidRDefault="00BC5B28" w:rsidP="009C7A4C"/>
    <w:p w:rsidR="009C7A4C" w:rsidRDefault="00E0043B" w:rsidP="009C7A4C">
      <w:r>
        <w:t>Vid</w:t>
      </w:r>
      <w:r w:rsidR="00BC5B28">
        <w:t xml:space="preserve"> val av internatio</w:t>
      </w:r>
      <w:r w:rsidR="00B01119">
        <w:t>ne</w:t>
      </w:r>
      <w:r w:rsidR="00BC5B28">
        <w:t>ll</w:t>
      </w:r>
      <w:r w:rsidR="00B01119">
        <w:t>a</w:t>
      </w:r>
      <w:r w:rsidR="00BC5B28">
        <w:t xml:space="preserve"> partner bör KTH p</w:t>
      </w:r>
      <w:r w:rsidR="009C7A4C">
        <w:t>rioritera samarbeten med högrankade universitet på bekostnad av orankade.</w:t>
      </w:r>
      <w:r w:rsidR="00BC5B28">
        <w:t xml:space="preserve"> Samarbete</w:t>
      </w:r>
      <w:r w:rsidR="008A6951">
        <w:t>n</w:t>
      </w:r>
      <w:r w:rsidR="00BC5B28">
        <w:t xml:space="preserve"> med högrankade </w:t>
      </w:r>
      <w:r w:rsidR="00692057">
        <w:t>universitet</w:t>
      </w:r>
      <w:r w:rsidR="00BC5B28">
        <w:t xml:space="preserve"> ger högre prestige</w:t>
      </w:r>
      <w:r w:rsidR="00692057">
        <w:t>, synlighet och</w:t>
      </w:r>
      <w:r w:rsidR="00BC5B28">
        <w:t xml:space="preserve"> anseende</w:t>
      </w:r>
      <w:r w:rsidR="008A6951">
        <w:t>, vilket bland</w:t>
      </w:r>
      <w:r w:rsidR="00C93B09">
        <w:t xml:space="preserve"> annat påverkar ryktesmätningar,</w:t>
      </w:r>
      <w:r w:rsidR="00BC5B28">
        <w:t xml:space="preserve"> samt att forskning och utbildning generellt är bättre </w:t>
      </w:r>
      <w:r w:rsidR="00FD74F2">
        <w:t>vid</w:t>
      </w:r>
      <w:r w:rsidR="00BC5B28">
        <w:t xml:space="preserve"> högrankade universitet än </w:t>
      </w:r>
      <w:r w:rsidR="00FD74F2">
        <w:t>v</w:t>
      </w:r>
      <w:r w:rsidR="00BC5B28">
        <w:t>i</w:t>
      </w:r>
      <w:r w:rsidR="00FD74F2">
        <w:t>d</w:t>
      </w:r>
      <w:r w:rsidR="00BC5B28">
        <w:t xml:space="preserve"> orankade. På hela taget torde samarbeten med namnkunniga universitet ge potential att utöka KTH:s forskningsnätverk inom ledande internati</w:t>
      </w:r>
      <w:r w:rsidR="00692057">
        <w:t xml:space="preserve">onella miljöer med nya forskningssamarbeten och sampublikationer som följd. </w:t>
      </w:r>
      <w:r w:rsidR="00BC5B28">
        <w:t xml:space="preserve"> </w:t>
      </w:r>
    </w:p>
    <w:p w:rsidR="00A45BAF" w:rsidRDefault="00A45BAF" w:rsidP="009C7A4C"/>
    <w:p w:rsidR="00353815" w:rsidRDefault="00A45BAF" w:rsidP="009C7A4C">
      <w:r>
        <w:t>Utnyttja</w:t>
      </w:r>
      <w:r w:rsidR="009D73D1">
        <w:t xml:space="preserve"> i högre grad än nu befintliga</w:t>
      </w:r>
      <w:r>
        <w:t xml:space="preserve"> nätverk som Deans Forum, CLUSTER, CESAER för att skapa kontakter </w:t>
      </w:r>
      <w:r w:rsidR="00D55C2E">
        <w:t xml:space="preserve">och utbyten </w:t>
      </w:r>
      <w:r>
        <w:t xml:space="preserve">mellan olika forskningsmiljöer som stimulerar till samarbete och ökad synlighet. </w:t>
      </w:r>
    </w:p>
    <w:p w:rsidR="00353815" w:rsidRDefault="00353815" w:rsidP="009C7A4C"/>
    <w:p w:rsidR="00A45BAF" w:rsidRPr="009C50B6" w:rsidRDefault="00A45BAF" w:rsidP="009C7A4C">
      <w:r>
        <w:t>Medlemskap i framstående nätverk stärker lärosätets internationella prestige</w:t>
      </w:r>
      <w:r w:rsidR="00C36490">
        <w:t>, synlighet</w:t>
      </w:r>
      <w:r>
        <w:t xml:space="preserve"> och rykte, vilket </w:t>
      </w:r>
      <w:r w:rsidR="00512824">
        <w:t>är till</w:t>
      </w:r>
      <w:r>
        <w:t xml:space="preserve"> fördel i ryktesmätningarna.</w:t>
      </w:r>
    </w:p>
    <w:p w:rsidR="009C50B6" w:rsidRPr="009C50B6" w:rsidRDefault="009C50B6" w:rsidP="009C50B6"/>
    <w:p w:rsidR="009C50B6" w:rsidRPr="009C50B6" w:rsidRDefault="00732FE4" w:rsidP="009C7A4C">
      <w:pPr>
        <w:pStyle w:val="Rubrik1"/>
      </w:pPr>
      <w:bookmarkStart w:id="32" w:name="_Toc53410019"/>
      <w:r>
        <w:t>Innovation och samverkan</w:t>
      </w:r>
      <w:bookmarkEnd w:id="32"/>
    </w:p>
    <w:p w:rsidR="00E0043B" w:rsidRDefault="00AC275C" w:rsidP="00AC275C">
      <w:pPr>
        <w:rPr>
          <w:rFonts w:eastAsia="Calibri" w:cs="Times New Roman"/>
          <w:szCs w:val="22"/>
        </w:rPr>
      </w:pPr>
      <w:r>
        <w:t xml:space="preserve">För </w:t>
      </w:r>
      <w:r w:rsidR="00550203">
        <w:t>närvarande</w:t>
      </w:r>
      <w:r>
        <w:t xml:space="preserve"> har </w:t>
      </w:r>
      <w:r w:rsidR="008A6951">
        <w:t>samverkansindikatorer</w:t>
      </w:r>
      <w:r>
        <w:t xml:space="preserve"> </w:t>
      </w:r>
      <w:r w:rsidR="008A6951">
        <w:t>ingen framträdande roll</w:t>
      </w:r>
      <w:r>
        <w:t xml:space="preserve"> i </w:t>
      </w:r>
      <w:r w:rsidR="002A33F7">
        <w:t xml:space="preserve">vare sig </w:t>
      </w:r>
      <w:r>
        <w:t xml:space="preserve">QS och THE. THE har måttet </w:t>
      </w:r>
      <w:r>
        <w:rPr>
          <w:rFonts w:eastAsia="Calibri" w:cs="Times New Roman"/>
          <w:szCs w:val="22"/>
        </w:rPr>
        <w:t>i</w:t>
      </w:r>
      <w:r w:rsidRPr="00DB7902">
        <w:rPr>
          <w:rFonts w:eastAsia="Calibri" w:cs="Times New Roman"/>
          <w:szCs w:val="22"/>
        </w:rPr>
        <w:t>ntäkter från näringslivet per lärare</w:t>
      </w:r>
      <w:r w:rsidR="00895772">
        <w:rPr>
          <w:rFonts w:eastAsia="Calibri" w:cs="Times New Roman"/>
          <w:szCs w:val="22"/>
        </w:rPr>
        <w:t xml:space="preserve"> som viktas 2,5 </w:t>
      </w:r>
      <w:r w:rsidR="008A6951">
        <w:rPr>
          <w:rFonts w:eastAsia="Calibri" w:cs="Times New Roman"/>
          <w:szCs w:val="22"/>
        </w:rPr>
        <w:t>procent</w:t>
      </w:r>
      <w:r>
        <w:rPr>
          <w:rFonts w:eastAsia="Calibri" w:cs="Times New Roman"/>
          <w:szCs w:val="22"/>
        </w:rPr>
        <w:t xml:space="preserve">. </w:t>
      </w:r>
      <w:r w:rsidR="00E0043B">
        <w:rPr>
          <w:rFonts w:eastAsia="Calibri" w:cs="Times New Roman"/>
          <w:szCs w:val="22"/>
        </w:rPr>
        <w:t xml:space="preserve">QS har inget mått alls. </w:t>
      </w:r>
    </w:p>
    <w:p w:rsidR="00E0043B" w:rsidRDefault="00E0043B" w:rsidP="00AC275C">
      <w:pPr>
        <w:rPr>
          <w:rFonts w:eastAsia="Calibri" w:cs="Times New Roman"/>
          <w:szCs w:val="22"/>
        </w:rPr>
      </w:pPr>
    </w:p>
    <w:p w:rsidR="00AC275C" w:rsidRDefault="008A6951" w:rsidP="00AC275C">
      <w:pPr>
        <w:rPr>
          <w:rFonts w:eastAsia="Calibri" w:cs="Times New Roman"/>
          <w:szCs w:val="22"/>
        </w:rPr>
      </w:pPr>
      <w:r>
        <w:rPr>
          <w:rFonts w:eastAsia="Calibri" w:cs="Times New Roman"/>
          <w:szCs w:val="22"/>
        </w:rPr>
        <w:t>Det finns några innovations</w:t>
      </w:r>
      <w:r w:rsidR="00AC275C" w:rsidRPr="00AC275C">
        <w:rPr>
          <w:rFonts w:eastAsia="Calibri" w:cs="Times New Roman"/>
          <w:szCs w:val="22"/>
        </w:rPr>
        <w:t xml:space="preserve">rankningar, exempelvis Reuters Top 100: The World's Most Innovative Universities, men här </w:t>
      </w:r>
      <w:r>
        <w:rPr>
          <w:rFonts w:eastAsia="Calibri" w:cs="Times New Roman"/>
          <w:szCs w:val="22"/>
        </w:rPr>
        <w:t>är KTH orankat</w:t>
      </w:r>
      <w:r w:rsidR="00AC275C" w:rsidRPr="00AC275C">
        <w:rPr>
          <w:rFonts w:eastAsia="Calibri" w:cs="Times New Roman"/>
          <w:szCs w:val="22"/>
        </w:rPr>
        <w:t xml:space="preserve"> då </w:t>
      </w:r>
      <w:r w:rsidR="000D59FB">
        <w:rPr>
          <w:rFonts w:eastAsia="Calibri" w:cs="Times New Roman"/>
          <w:szCs w:val="22"/>
        </w:rPr>
        <w:t>vi</w:t>
      </w:r>
      <w:r w:rsidR="00AC275C" w:rsidRPr="00AC275C">
        <w:rPr>
          <w:rFonts w:eastAsia="Calibri" w:cs="Times New Roman"/>
          <w:szCs w:val="22"/>
        </w:rPr>
        <w:t xml:space="preserve"> inte äger </w:t>
      </w:r>
      <w:r w:rsidR="00550203" w:rsidRPr="00AC275C">
        <w:rPr>
          <w:rFonts w:eastAsia="Calibri" w:cs="Times New Roman"/>
          <w:szCs w:val="22"/>
        </w:rPr>
        <w:t>några</w:t>
      </w:r>
      <w:r w:rsidR="00AC275C" w:rsidRPr="00AC275C">
        <w:rPr>
          <w:rFonts w:eastAsia="Calibri" w:cs="Times New Roman"/>
          <w:szCs w:val="22"/>
        </w:rPr>
        <w:t xml:space="preserve"> patent.</w:t>
      </w:r>
      <w:r w:rsidR="00545EC0">
        <w:rPr>
          <w:rStyle w:val="Fotnotsreferens"/>
          <w:rFonts w:eastAsia="Calibri" w:cs="Times New Roman"/>
          <w:szCs w:val="22"/>
        </w:rPr>
        <w:footnoteReference w:id="2"/>
      </w:r>
      <w:r w:rsidR="00550203">
        <w:rPr>
          <w:rFonts w:eastAsia="Calibri" w:cs="Times New Roman"/>
          <w:szCs w:val="22"/>
        </w:rPr>
        <w:t xml:space="preserve"> </w:t>
      </w:r>
      <w:r w:rsidR="00AC275C">
        <w:rPr>
          <w:rFonts w:eastAsia="Calibri" w:cs="Times New Roman"/>
          <w:szCs w:val="22"/>
        </w:rPr>
        <w:t xml:space="preserve">Vill svenska universitet på sikt vara synliga i denna typ av mätningar </w:t>
      </w:r>
      <w:r w:rsidR="005E4384">
        <w:rPr>
          <w:rFonts w:eastAsia="Calibri" w:cs="Times New Roman"/>
          <w:szCs w:val="22"/>
        </w:rPr>
        <w:t>måste</w:t>
      </w:r>
      <w:r w:rsidR="00AC275C">
        <w:rPr>
          <w:rFonts w:eastAsia="Calibri" w:cs="Times New Roman"/>
          <w:szCs w:val="22"/>
        </w:rPr>
        <w:t xml:space="preserve"> lärarundantaget avskaffas. </w:t>
      </w:r>
      <w:r w:rsidR="005E4384">
        <w:rPr>
          <w:rFonts w:eastAsia="Calibri" w:cs="Times New Roman"/>
          <w:szCs w:val="22"/>
        </w:rPr>
        <w:t>Det är emellertid</w:t>
      </w:r>
      <w:r w:rsidR="00550203">
        <w:rPr>
          <w:rFonts w:eastAsia="Calibri" w:cs="Times New Roman"/>
          <w:szCs w:val="22"/>
        </w:rPr>
        <w:t xml:space="preserve"> viktigt att KTH </w:t>
      </w:r>
      <w:r w:rsidR="005E4384">
        <w:rPr>
          <w:rFonts w:eastAsia="Calibri" w:cs="Times New Roman"/>
          <w:szCs w:val="22"/>
        </w:rPr>
        <w:t>dokumenterar</w:t>
      </w:r>
      <w:r w:rsidR="00550203">
        <w:rPr>
          <w:rFonts w:eastAsia="Calibri" w:cs="Times New Roman"/>
          <w:szCs w:val="22"/>
        </w:rPr>
        <w:t xml:space="preserve"> patent, start up companies, inkubatorer etc. </w:t>
      </w:r>
      <w:r w:rsidR="003B74A5">
        <w:rPr>
          <w:rFonts w:eastAsia="Calibri" w:cs="Times New Roman"/>
          <w:szCs w:val="22"/>
        </w:rPr>
        <w:t>med tanke på att</w:t>
      </w:r>
      <w:r w:rsidR="00550203">
        <w:rPr>
          <w:rFonts w:eastAsia="Calibri" w:cs="Times New Roman"/>
          <w:szCs w:val="22"/>
        </w:rPr>
        <w:t xml:space="preserve"> detta kan komma att introduceras i framtida rankningar</w:t>
      </w:r>
      <w:r w:rsidR="005E4384">
        <w:rPr>
          <w:rFonts w:eastAsia="Calibri" w:cs="Times New Roman"/>
          <w:szCs w:val="22"/>
        </w:rPr>
        <w:t xml:space="preserve"> och KTH erbjuds</w:t>
      </w:r>
      <w:r w:rsidR="00895772">
        <w:rPr>
          <w:rFonts w:eastAsia="Calibri" w:cs="Times New Roman"/>
          <w:szCs w:val="22"/>
        </w:rPr>
        <w:t xml:space="preserve"> möjlig</w:t>
      </w:r>
      <w:r w:rsidR="005E4384">
        <w:rPr>
          <w:rFonts w:eastAsia="Calibri" w:cs="Times New Roman"/>
          <w:szCs w:val="22"/>
        </w:rPr>
        <w:t>he</w:t>
      </w:r>
      <w:r w:rsidR="00895772">
        <w:rPr>
          <w:rFonts w:eastAsia="Calibri" w:cs="Times New Roman"/>
          <w:szCs w:val="22"/>
        </w:rPr>
        <w:t xml:space="preserve">t att själv bidra med </w:t>
      </w:r>
      <w:r w:rsidR="00C45912">
        <w:rPr>
          <w:rFonts w:eastAsia="Calibri" w:cs="Times New Roman"/>
          <w:szCs w:val="22"/>
        </w:rPr>
        <w:t xml:space="preserve">uppgifter om </w:t>
      </w:r>
      <w:r w:rsidR="00895772">
        <w:rPr>
          <w:rFonts w:eastAsia="Calibri" w:cs="Times New Roman"/>
          <w:szCs w:val="22"/>
        </w:rPr>
        <w:t>detta</w:t>
      </w:r>
      <w:r w:rsidR="00550203">
        <w:rPr>
          <w:rFonts w:eastAsia="Calibri" w:cs="Times New Roman"/>
          <w:szCs w:val="22"/>
        </w:rPr>
        <w:t>.</w:t>
      </w:r>
      <w:r w:rsidR="00CC23A1">
        <w:rPr>
          <w:rFonts w:eastAsia="Calibri" w:cs="Times New Roman"/>
          <w:szCs w:val="22"/>
        </w:rPr>
        <w:t xml:space="preserve"> Här bör det emellertid understrykas att KTH </w:t>
      </w:r>
      <w:r w:rsidR="005E4384">
        <w:rPr>
          <w:rFonts w:eastAsia="Calibri" w:cs="Times New Roman"/>
          <w:szCs w:val="22"/>
        </w:rPr>
        <w:t xml:space="preserve">i nuläget </w:t>
      </w:r>
      <w:r w:rsidR="00CC23A1">
        <w:rPr>
          <w:rFonts w:eastAsia="Calibri" w:cs="Times New Roman"/>
          <w:szCs w:val="22"/>
        </w:rPr>
        <w:t xml:space="preserve">har gott om statistik inom innovationsområdet. </w:t>
      </w:r>
    </w:p>
    <w:p w:rsidR="00AC275C" w:rsidRPr="00AC275C" w:rsidRDefault="00AC275C" w:rsidP="00AC275C"/>
    <w:p w:rsidR="00895772" w:rsidRDefault="00AC275C" w:rsidP="004B5BF3">
      <w:r>
        <w:t>För att stärka KTH:s ställning i rankningar behövs</w:t>
      </w:r>
      <w:r w:rsidR="007438B2">
        <w:t xml:space="preserve"> mer</w:t>
      </w:r>
      <w:r w:rsidR="007438B2" w:rsidRPr="00FE3CB5">
        <w:t xml:space="preserve"> resurser</w:t>
      </w:r>
      <w:r w:rsidR="00550203">
        <w:t xml:space="preserve"> såväl pengar som in natura</w:t>
      </w:r>
      <w:r w:rsidR="007438B2" w:rsidRPr="00FE3CB5">
        <w:t xml:space="preserve"> från indu</w:t>
      </w:r>
      <w:r>
        <w:t>strin/</w:t>
      </w:r>
      <w:r w:rsidR="00FD74F2">
        <w:t xml:space="preserve"> </w:t>
      </w:r>
      <w:r>
        <w:t>näringslivet och</w:t>
      </w:r>
      <w:r w:rsidR="007438B2" w:rsidRPr="00FE3CB5">
        <w:t xml:space="preserve"> donationer etc.</w:t>
      </w:r>
      <w:r w:rsidR="007438B2">
        <w:t xml:space="preserve"> </w:t>
      </w:r>
      <w:r w:rsidR="00895772">
        <w:t xml:space="preserve">Vissa högrankade universitet som Postech får </w:t>
      </w:r>
      <w:r w:rsidR="009D73D1">
        <w:t>omfattande</w:t>
      </w:r>
      <w:r w:rsidR="00895772">
        <w:t xml:space="preserve"> medel från industrin. Ett utökat antal</w:t>
      </w:r>
      <w:r w:rsidR="00550203">
        <w:t xml:space="preserve"> </w:t>
      </w:r>
      <w:r w:rsidR="009A6DF9">
        <w:t>excellenta</w:t>
      </w:r>
      <w:r w:rsidR="00550203">
        <w:t xml:space="preserve"> adjungerade professorer kan stärka verksamheten med nya perspektiv, skriva publikationer</w:t>
      </w:r>
      <w:r w:rsidR="00E0043B">
        <w:t>, projektansökningar</w:t>
      </w:r>
      <w:r w:rsidR="00550203">
        <w:t xml:space="preserve"> och bidra </w:t>
      </w:r>
      <w:r w:rsidR="00C45912">
        <w:t>med</w:t>
      </w:r>
      <w:r w:rsidR="00550203">
        <w:t xml:space="preserve"> extern forskningsfinansiering</w:t>
      </w:r>
      <w:r w:rsidR="00895772">
        <w:t xml:space="preserve"> samt med resurser från industrin</w:t>
      </w:r>
      <w:r w:rsidR="00341B32">
        <w:t>. Utvecklin</w:t>
      </w:r>
      <w:r w:rsidR="00C2789F">
        <w:t xml:space="preserve">gspotential finns beträffande de </w:t>
      </w:r>
      <w:r w:rsidR="00A37378">
        <w:t>12</w:t>
      </w:r>
      <w:r w:rsidR="00C2789F">
        <w:t xml:space="preserve"> strategiska parterna. </w:t>
      </w:r>
    </w:p>
    <w:p w:rsidR="00895772" w:rsidRDefault="00895772" w:rsidP="004B5BF3"/>
    <w:p w:rsidR="007438B2" w:rsidRDefault="00AC275C" w:rsidP="004B5BF3">
      <w:r>
        <w:t xml:space="preserve">På sikt är det mycket </w:t>
      </w:r>
      <w:r w:rsidR="00550203">
        <w:t>möjligt</w:t>
      </w:r>
      <w:r>
        <w:t xml:space="preserve"> att THE </w:t>
      </w:r>
      <w:r w:rsidR="00550203">
        <w:t>och QS inkluderar</w:t>
      </w:r>
      <w:r>
        <w:t xml:space="preserve"> indikatorn andel sampublicering med industrin</w:t>
      </w:r>
      <w:r w:rsidR="007438B2">
        <w:t>.</w:t>
      </w:r>
      <w:r w:rsidR="00550203">
        <w:t xml:space="preserve"> I detta avseende hävdar sig KTH mycket väl, varför det kan vara befogat att också fortsättningsvis upprätthålla denna höga andel. </w:t>
      </w:r>
    </w:p>
    <w:p w:rsidR="006C5651" w:rsidRDefault="006C5651" w:rsidP="004B5BF3"/>
    <w:p w:rsidR="002948B3" w:rsidRDefault="002948B3" w:rsidP="004B5BF3"/>
    <w:p w:rsidR="002948B3" w:rsidRPr="002948B3" w:rsidRDefault="00550203" w:rsidP="002948B3">
      <w:pPr>
        <w:pStyle w:val="Rubrik1"/>
      </w:pPr>
      <w:bookmarkStart w:id="33" w:name="_Toc53410020"/>
      <w:r>
        <w:lastRenderedPageBreak/>
        <w:t>Synlighet</w:t>
      </w:r>
      <w:r w:rsidR="00223EBF">
        <w:t xml:space="preserve"> och varumärkesförstärkning</w:t>
      </w:r>
      <w:bookmarkEnd w:id="33"/>
    </w:p>
    <w:p w:rsidR="00E6503B" w:rsidRPr="00E6503B" w:rsidRDefault="00E6503B" w:rsidP="000405CB">
      <w:pPr>
        <w:pStyle w:val="Rubrik2"/>
      </w:pPr>
      <w:bookmarkStart w:id="34" w:name="_Toc53410021"/>
      <w:r w:rsidRPr="00E6503B">
        <w:t>Intern förstärkning</w:t>
      </w:r>
      <w:bookmarkEnd w:id="34"/>
    </w:p>
    <w:p w:rsidR="006447E6" w:rsidRPr="00E6503B" w:rsidRDefault="009E4062" w:rsidP="00E816C0">
      <w:r w:rsidRPr="00E6503B">
        <w:t xml:space="preserve">Ge internutbildningar mot chefer, fakultet och forskare etc. beträffande vikten av kommunikation, profilering av KTH:s varumärke, altmetri, bibliometri, rankningar och få in ökad medvetenhet om varumärke och profilering i det interna kvalitetsarbetet. </w:t>
      </w:r>
    </w:p>
    <w:p w:rsidR="00E816C0" w:rsidRDefault="00E816C0" w:rsidP="00E816C0"/>
    <w:p w:rsidR="006447E6" w:rsidRPr="00E6503B" w:rsidRDefault="009E4062" w:rsidP="00E816C0">
      <w:r w:rsidRPr="00E6503B">
        <w:t>Uppmuntra deltagande från fakultetens och ledningens sida vid Farwell meetings och Farwell parties. Åtgärden syftar till att stärka viljan att bli aktiv ambassadör för KTH</w:t>
      </w:r>
      <w:r w:rsidR="003B74A5">
        <w:t>, något som på sikt bland annat kan stärka KTH:s prestation i ryktesmätningarna</w:t>
      </w:r>
      <w:r w:rsidRPr="00E6503B">
        <w:t xml:space="preserve">. </w:t>
      </w:r>
    </w:p>
    <w:p w:rsidR="00E816C0" w:rsidRDefault="00E816C0" w:rsidP="00E816C0"/>
    <w:p w:rsidR="006447E6" w:rsidRPr="00E6503B" w:rsidRDefault="009E4062" w:rsidP="00E816C0">
      <w:r w:rsidRPr="00E6503B">
        <w:t xml:space="preserve">Stärka medvetenheten om vikten av att få ut sina forskningsresultat till sina kollegor inom fältet samt till en bredare publik. Exempelvis vore det rekommenderat att ta fram ett underlag innehållande förslag och riktlinjer till hur man skall gå tillväga för att sprida resultatet av sin forskning både inom och utom akademin. </w:t>
      </w:r>
    </w:p>
    <w:p w:rsidR="00E6503B" w:rsidRPr="00E6503B" w:rsidRDefault="00E6503B" w:rsidP="00E6503B">
      <w:r w:rsidRPr="00E6503B">
        <w:t> </w:t>
      </w:r>
    </w:p>
    <w:p w:rsidR="00E816C0" w:rsidRDefault="00E6503B" w:rsidP="000405CB">
      <w:pPr>
        <w:pStyle w:val="Rubrik2"/>
      </w:pPr>
      <w:bookmarkStart w:id="35" w:name="_Toc53410022"/>
      <w:r w:rsidRPr="00E6503B">
        <w:t>Ambassadörskap och relationer</w:t>
      </w:r>
      <w:bookmarkEnd w:id="35"/>
      <w:r w:rsidRPr="00E6503B">
        <w:t xml:space="preserve"> </w:t>
      </w:r>
    </w:p>
    <w:p w:rsidR="006447E6" w:rsidRPr="00E6503B" w:rsidRDefault="009E4062" w:rsidP="00E816C0">
      <w:r w:rsidRPr="00E6503B">
        <w:t>I alumner finns en stor potential för ambassadörskap, vilket kan bidra till att stärka KTH:s rykte</w:t>
      </w:r>
      <w:r w:rsidR="00904921">
        <w:t>, såväl nationellt som internationellt</w:t>
      </w:r>
      <w:r w:rsidRPr="00E6503B">
        <w:t xml:space="preserve">. Alumnerna kan själva vara de som deltar i ryktesmätningar eller ha kopplingar till individer som gör det. En förutsättning för detta är </w:t>
      </w:r>
      <w:r w:rsidR="00904921">
        <w:t xml:space="preserve">givetvis </w:t>
      </w:r>
      <w:r w:rsidRPr="00E6503B">
        <w:t xml:space="preserve">att KTH ger mycket bra utbildningar. </w:t>
      </w:r>
    </w:p>
    <w:p w:rsidR="00E816C0" w:rsidRDefault="00E816C0" w:rsidP="00E816C0"/>
    <w:p w:rsidR="006447E6" w:rsidRPr="00E6503B" w:rsidRDefault="009E4062" w:rsidP="004A6E95">
      <w:r w:rsidRPr="00E6503B">
        <w:t xml:space="preserve">Tidigare </w:t>
      </w:r>
      <w:r w:rsidR="000405CB">
        <w:t>anställd fakultet</w:t>
      </w:r>
      <w:r w:rsidRPr="00E6503B">
        <w:t xml:space="preserve"> som fortsätter fors</w:t>
      </w:r>
      <w:r w:rsidR="000405CB">
        <w:t>karkarriär på ett annat universitet</w:t>
      </w:r>
      <w:r w:rsidRPr="00E6503B">
        <w:t xml:space="preserve"> kan ha en potential för ambassadörskap. De tidigare anställda kan själva vara de som deltar i ryktesmätningar eller ha kopplingar till individer som gör det. En förutsättning för detta är att KTH är en bra arbetsplats och forskningsinstitution.</w:t>
      </w:r>
    </w:p>
    <w:p w:rsidR="002948B3" w:rsidRDefault="002948B3" w:rsidP="002948B3"/>
    <w:p w:rsidR="006447E6" w:rsidRPr="00E6503B" w:rsidRDefault="009E4062" w:rsidP="002948B3">
      <w:r w:rsidRPr="00E6503B">
        <w:t xml:space="preserve">Genom universitetspartnerskap finns en befintlig relation som kan bidra till att stärka KTH:s rykte. </w:t>
      </w:r>
    </w:p>
    <w:p w:rsidR="00E6503B" w:rsidRPr="00E6503B" w:rsidRDefault="00E6503B" w:rsidP="00E6503B">
      <w:r w:rsidRPr="00E6503B">
        <w:t> </w:t>
      </w:r>
    </w:p>
    <w:p w:rsidR="00E6503B" w:rsidRPr="00E6503B" w:rsidRDefault="00E6503B" w:rsidP="000405CB">
      <w:pPr>
        <w:pStyle w:val="Rubrik2"/>
      </w:pPr>
      <w:bookmarkStart w:id="36" w:name="_Toc53410023"/>
      <w:r w:rsidRPr="00E6503B">
        <w:t>Riktade externa insatser</w:t>
      </w:r>
      <w:bookmarkEnd w:id="36"/>
    </w:p>
    <w:p w:rsidR="006447E6" w:rsidRPr="00E6503B" w:rsidRDefault="009E4062" w:rsidP="002948B3">
      <w:r w:rsidRPr="00E6503B">
        <w:t>Undersöka effekt av (ROI) annonsering i förhållande till rank</w:t>
      </w:r>
      <w:r w:rsidR="00326A28">
        <w:t>n</w:t>
      </w:r>
      <w:r w:rsidRPr="00E6503B">
        <w:t>ingar.</w:t>
      </w:r>
    </w:p>
    <w:p w:rsidR="002269E5" w:rsidRDefault="002269E5" w:rsidP="002948B3"/>
    <w:p w:rsidR="006447E6" w:rsidRPr="00E6503B" w:rsidRDefault="009E4062" w:rsidP="002948B3">
      <w:r w:rsidRPr="00E6503B">
        <w:t>Förtydliga utbildningssatsningar och resultat samt målgrupp i förhållande till rank</w:t>
      </w:r>
      <w:r w:rsidR="002948B3">
        <w:t>n</w:t>
      </w:r>
      <w:r w:rsidRPr="00E6503B">
        <w:t>ing för dessa.</w:t>
      </w:r>
    </w:p>
    <w:p w:rsidR="00E6503B" w:rsidRDefault="00E6503B" w:rsidP="00550203"/>
    <w:p w:rsidR="007D3DC3" w:rsidRDefault="007D3DC3" w:rsidP="007438B2">
      <w:pPr>
        <w:pStyle w:val="Rubrik1"/>
      </w:pPr>
      <w:bookmarkStart w:id="37" w:name="_Toc53410024"/>
      <w:r>
        <w:t>Övrigt</w:t>
      </w:r>
      <w:bookmarkEnd w:id="37"/>
    </w:p>
    <w:p w:rsidR="007D3DC3" w:rsidRDefault="00895772" w:rsidP="00C564F2">
      <w:r>
        <w:t>KTH bör ta kontakt</w:t>
      </w:r>
      <w:r w:rsidR="00A52258">
        <w:t xml:space="preserve"> med utbildningsdepartement, </w:t>
      </w:r>
      <w:r w:rsidR="007D3DC3">
        <w:t xml:space="preserve">regering </w:t>
      </w:r>
      <w:r w:rsidR="00A52258">
        <w:t xml:space="preserve">och näringsliv </w:t>
      </w:r>
      <w:r w:rsidR="007D3DC3">
        <w:t xml:space="preserve">med syfte att diskutera behovet av utökade resurser för att kunna bibehålla </w:t>
      </w:r>
      <w:r w:rsidR="00A52258">
        <w:t xml:space="preserve">nuvarande position </w:t>
      </w:r>
      <w:r w:rsidR="007D3DC3">
        <w:t>eller avancera i rank</w:t>
      </w:r>
      <w:r w:rsidR="00490CC6">
        <w:t>n</w:t>
      </w:r>
      <w:r w:rsidR="007D3DC3">
        <w:t xml:space="preserve">ingar. </w:t>
      </w:r>
    </w:p>
    <w:p w:rsidR="005B212D" w:rsidRDefault="005B212D" w:rsidP="00C564F2"/>
    <w:p w:rsidR="005B212D" w:rsidRDefault="005B212D" w:rsidP="00C564F2">
      <w:r>
        <w:t>KTH fortsätter</w:t>
      </w:r>
      <w:r w:rsidR="00A37378">
        <w:t xml:space="preserve"> arbetet</w:t>
      </w:r>
      <w:r>
        <w:t xml:space="preserve"> med att försöka påverka rankning</w:t>
      </w:r>
      <w:r w:rsidR="00740D8A">
        <w:t>leverantörerna</w:t>
      </w:r>
      <w:r>
        <w:t xml:space="preserve"> att förbättra mätmetoderna med </w:t>
      </w:r>
      <w:r w:rsidR="000B2BDE">
        <w:t>syfte att stärka KTH:s position</w:t>
      </w:r>
      <w:r w:rsidR="00193C5E">
        <w:t xml:space="preserve">. </w:t>
      </w:r>
    </w:p>
    <w:p w:rsidR="00A02A02" w:rsidRDefault="00A02A02" w:rsidP="00C564F2"/>
    <w:p w:rsidR="00A02A02" w:rsidRPr="001B23F7" w:rsidRDefault="00A02A02" w:rsidP="00A02A02">
      <w:pPr>
        <w:pStyle w:val="Rubrik1"/>
      </w:pPr>
      <w:bookmarkStart w:id="38" w:name="_Toc53410025"/>
      <w:r>
        <w:t>Konsekvensanalys</w:t>
      </w:r>
      <w:r w:rsidR="002521D5">
        <w:t xml:space="preserve"> och överväganden</w:t>
      </w:r>
      <w:r w:rsidR="007614FF">
        <w:t xml:space="preserve"> sett till målsättningar</w:t>
      </w:r>
      <w:bookmarkEnd w:id="38"/>
    </w:p>
    <w:p w:rsidR="00CA7A88" w:rsidRDefault="007A3707" w:rsidP="004A6E95">
      <w:r>
        <w:t>Inledningsvis konstaterades att de</w:t>
      </w:r>
      <w:r w:rsidR="0062356D">
        <w:t xml:space="preserve"> universitet som faller ut bäst i rank</w:t>
      </w:r>
      <w:r w:rsidR="00B854CE">
        <w:t>n</w:t>
      </w:r>
      <w:r w:rsidR="0062356D">
        <w:t xml:space="preserve">ingar är det forskningsintensiva </w:t>
      </w:r>
      <w:r w:rsidR="00971ED2">
        <w:t>elit</w:t>
      </w:r>
      <w:r w:rsidR="0062356D">
        <w:t>universitetet vars huvudsakliga fokus ligger vid excellent forskning</w:t>
      </w:r>
      <w:r w:rsidR="007A30A9">
        <w:t xml:space="preserve"> </w:t>
      </w:r>
      <w:r w:rsidR="007A30A9">
        <w:lastRenderedPageBreak/>
        <w:t>med betoning på spets</w:t>
      </w:r>
      <w:r w:rsidR="0062356D">
        <w:t xml:space="preserve">. </w:t>
      </w:r>
      <w:r w:rsidR="003F1E90">
        <w:t>Grovt</w:t>
      </w:r>
      <w:r w:rsidR="0062356D">
        <w:t xml:space="preserve"> förenklat kan man </w:t>
      </w:r>
      <w:r w:rsidR="004C2F95">
        <w:t>hävda</w:t>
      </w:r>
      <w:r w:rsidR="0062356D">
        <w:t xml:space="preserve"> att de högst rankade universiteten är forskningsinstitut som bedriver </w:t>
      </w:r>
      <w:r w:rsidR="004C2F95">
        <w:t>utbildning</w:t>
      </w:r>
      <w:r w:rsidR="0062356D">
        <w:t>.</w:t>
      </w:r>
    </w:p>
    <w:p w:rsidR="004A6E95" w:rsidRDefault="004A6E95" w:rsidP="004A6E95"/>
    <w:p w:rsidR="0062356D" w:rsidRDefault="0062356D" w:rsidP="004A6E95">
      <w:r>
        <w:t xml:space="preserve">Skall KTH </w:t>
      </w:r>
      <w:r w:rsidR="00995B53">
        <w:t xml:space="preserve">på sikt </w:t>
      </w:r>
      <w:r>
        <w:t xml:space="preserve">återfinnas i topp 100 på både THE och QS krävs, vid sidan av ytterligare resurser, att forskning </w:t>
      </w:r>
      <w:r w:rsidR="007A30A9">
        <w:t xml:space="preserve">tydligt </w:t>
      </w:r>
      <w:r>
        <w:t xml:space="preserve">premieras framför utbildning. </w:t>
      </w:r>
      <w:r w:rsidR="007A30A9">
        <w:t>Härav följer</w:t>
      </w:r>
      <w:r>
        <w:t xml:space="preserve"> att både fakultet och forskare i huvudsak är sysselsatta med forskning och att detta</w:t>
      </w:r>
      <w:r w:rsidR="007A30A9">
        <w:t xml:space="preserve"> tydligt </w:t>
      </w:r>
      <w:r>
        <w:t>premieras</w:t>
      </w:r>
      <w:r w:rsidR="007A30A9">
        <w:t xml:space="preserve"> framför utbildning</w:t>
      </w:r>
      <w:r>
        <w:t xml:space="preserve"> </w:t>
      </w:r>
      <w:r w:rsidR="00971ED2">
        <w:t>vid</w:t>
      </w:r>
      <w:r>
        <w:t xml:space="preserve"> </w:t>
      </w:r>
      <w:r w:rsidR="00ED4F86">
        <w:t xml:space="preserve">både </w:t>
      </w:r>
      <w:r>
        <w:t xml:space="preserve">befordring och rekrytering. </w:t>
      </w:r>
      <w:r w:rsidR="00B854CE">
        <w:t>En omställning</w:t>
      </w:r>
      <w:r w:rsidR="004C2F95">
        <w:t xml:space="preserve"> mot e</w:t>
      </w:r>
      <w:r w:rsidR="009F0929">
        <w:t xml:space="preserve">tt mer forskningsintensivt universitet </w:t>
      </w:r>
      <w:r w:rsidR="00737224">
        <w:t>med uttalad målsättning</w:t>
      </w:r>
      <w:r w:rsidR="009F0929">
        <w:t xml:space="preserve"> att tillhöra de</w:t>
      </w:r>
      <w:r w:rsidR="004C2F95">
        <w:t xml:space="preserve"> hög</w:t>
      </w:r>
      <w:r w:rsidR="009F0929">
        <w:t>st rankade</w:t>
      </w:r>
      <w:r w:rsidR="004C2F95">
        <w:t xml:space="preserve"> skulle medföra att flera utbildningar företrädesvis på grundläggande nivå, såsom högskoleingenjörs</w:t>
      </w:r>
      <w:r w:rsidR="00385B17">
        <w:t>- och kandidat</w:t>
      </w:r>
      <w:r w:rsidR="004C2F95">
        <w:t>program</w:t>
      </w:r>
      <w:r w:rsidR="009F0929">
        <w:t>,</w:t>
      </w:r>
      <w:r w:rsidR="004C2F95">
        <w:t xml:space="preserve"> måste lägg</w:t>
      </w:r>
      <w:r w:rsidR="00891758">
        <w:t>a</w:t>
      </w:r>
      <w:r w:rsidR="004C2F95">
        <w:t>s ned eller föras över till andra lärosäten</w:t>
      </w:r>
      <w:r w:rsidR="00ED4F86">
        <w:t xml:space="preserve"> som har huvudsakligt fokus vid utbildning</w:t>
      </w:r>
      <w:r w:rsidR="004C2F95">
        <w:t>.</w:t>
      </w:r>
    </w:p>
    <w:p w:rsidR="004A6E95" w:rsidRDefault="004A6E95" w:rsidP="004A6E95"/>
    <w:p w:rsidR="007A30A9" w:rsidRDefault="001B3022" w:rsidP="004A6E95">
      <w:r>
        <w:t>KTH:s målsättning är att vara excellent inom forskning, utbildning och samverkan samt har ett tydligt utbildningsuppdrag frå</w:t>
      </w:r>
      <w:r w:rsidR="00971ED2">
        <w:t xml:space="preserve">n </w:t>
      </w:r>
      <w:r w:rsidR="00891758">
        <w:t>regeringen</w:t>
      </w:r>
      <w:r w:rsidR="00971ED2">
        <w:t xml:space="preserve">. Detta </w:t>
      </w:r>
      <w:r w:rsidR="00C52EA8">
        <w:t>står delvis</w:t>
      </w:r>
      <w:r w:rsidR="00971ED2">
        <w:t xml:space="preserve"> i </w:t>
      </w:r>
      <w:r>
        <w:t xml:space="preserve">konflikt med målsättningen att vara så högt </w:t>
      </w:r>
      <w:r w:rsidR="004C1FFA">
        <w:t>positionerat</w:t>
      </w:r>
      <w:r>
        <w:t xml:space="preserve"> som möjligt</w:t>
      </w:r>
      <w:r w:rsidR="00B67517">
        <w:t xml:space="preserve"> i ledande rankningar</w:t>
      </w:r>
      <w:r>
        <w:t xml:space="preserve">. KTH står för en </w:t>
      </w:r>
      <w:r w:rsidR="00B67517">
        <w:t>tredjedel</w:t>
      </w:r>
      <w:r>
        <w:t xml:space="preserve"> av Sveriges ingenjörsutbildningar </w:t>
      </w:r>
      <w:r w:rsidR="00B67517">
        <w:t xml:space="preserve">och </w:t>
      </w:r>
      <w:r w:rsidR="004C2F95">
        <w:t>denna utbildningsvolym är</w:t>
      </w:r>
      <w:r w:rsidR="00B67517">
        <w:t xml:space="preserve"> sålunda</w:t>
      </w:r>
      <w:r>
        <w:t xml:space="preserve"> av vital betydelse för</w:t>
      </w:r>
      <w:r w:rsidR="00ED4F86">
        <w:t xml:space="preserve"> kompetensbehovet inom</w:t>
      </w:r>
      <w:r w:rsidR="007A30A9">
        <w:t xml:space="preserve"> svensk industri. Om forskning</w:t>
      </w:r>
      <w:r w:rsidR="004C2F95">
        <w:t xml:space="preserve"> allt mer</w:t>
      </w:r>
      <w:r>
        <w:t xml:space="preserve"> prioriteras på utbildningens bekostnad riskerar detta</w:t>
      </w:r>
      <w:r w:rsidR="00ED4F86">
        <w:t xml:space="preserve"> att</w:t>
      </w:r>
      <w:r>
        <w:t xml:space="preserve"> leda till ett komp</w:t>
      </w:r>
      <w:r w:rsidR="007A30A9">
        <w:t>e</w:t>
      </w:r>
      <w:r>
        <w:t>tenstapp för det svenska näringslivet</w:t>
      </w:r>
      <w:r w:rsidR="00971ED2">
        <w:t xml:space="preserve"> </w:t>
      </w:r>
      <w:r w:rsidR="007A30A9">
        <w:t>med försämrad internationell konkurrensförmåga som följd</w:t>
      </w:r>
      <w:r w:rsidR="00B67517">
        <w:t xml:space="preserve">. </w:t>
      </w:r>
    </w:p>
    <w:p w:rsidR="004A6E95" w:rsidRDefault="004A6E95" w:rsidP="004A6E95"/>
    <w:p w:rsidR="004C1FFA" w:rsidRDefault="004C1FFA" w:rsidP="004A6E95">
      <w:r>
        <w:t xml:space="preserve">QS och THE premierar universitet med hög internationaliseringsgrad. Om KTH framför allt inriktar sin utbildning mot internationella studenter och en internationell arbetsmarknad, kan detta få negativ inverkan på det nationella rekryteringsbehovet </w:t>
      </w:r>
      <w:r w:rsidR="00891758">
        <w:t>med</w:t>
      </w:r>
      <w:r>
        <w:t xml:space="preserve"> </w:t>
      </w:r>
      <w:r w:rsidR="002269E5">
        <w:t xml:space="preserve">brist på </w:t>
      </w:r>
      <w:r>
        <w:t xml:space="preserve">anställda som behärskar det svenska språket. På samma sätt kan en alltför hög andel internationell fakultet ge problem med att ge utbildning på svenska. </w:t>
      </w:r>
    </w:p>
    <w:p w:rsidR="004A6E95" w:rsidRDefault="004A6E95" w:rsidP="004A6E95"/>
    <w:p w:rsidR="009F0929" w:rsidRDefault="00460671" w:rsidP="004A6E95">
      <w:r>
        <w:t>En</w:t>
      </w:r>
      <w:r w:rsidR="003F1E90">
        <w:t xml:space="preserve"> annan problematik</w:t>
      </w:r>
      <w:r w:rsidR="00971ED2">
        <w:t xml:space="preserve"> är </w:t>
      </w:r>
      <w:r w:rsidR="002521D5">
        <w:t xml:space="preserve">befintliga </w:t>
      </w:r>
      <w:r w:rsidR="00971ED2">
        <w:t>resurser</w:t>
      </w:r>
      <w:r w:rsidR="002521D5">
        <w:t xml:space="preserve"> och hur de fördelas</w:t>
      </w:r>
      <w:r w:rsidR="00971ED2">
        <w:t>. Flera av de</w:t>
      </w:r>
      <w:r w:rsidR="001B3022">
        <w:t xml:space="preserve"> högst rankade universiteten i världen </w:t>
      </w:r>
      <w:r w:rsidR="00D26C49">
        <w:t>har tillgång till</w:t>
      </w:r>
      <w:r w:rsidR="001B3022">
        <w:t xml:space="preserve"> helt andra </w:t>
      </w:r>
      <w:r w:rsidR="007A30A9">
        <w:t xml:space="preserve">både interna och externa </w:t>
      </w:r>
      <w:r w:rsidR="001B3022">
        <w:t>resurser ä</w:t>
      </w:r>
      <w:r w:rsidR="007A30A9">
        <w:t>n</w:t>
      </w:r>
      <w:r w:rsidR="001B3022">
        <w:t xml:space="preserve"> KTH och med tanke på den ekonomiska utvecklingen på flera håll i världen, som möjliggör att allt fler länder satsar på att ha ett eller fler</w:t>
      </w:r>
      <w:r w:rsidR="004C2F95">
        <w:t>a</w:t>
      </w:r>
      <w:r w:rsidR="001B3022">
        <w:t xml:space="preserve"> rankade elituniversitet, medför detta att KTH på sikt kommer att få allt svårare att hävda sig i denna typ </w:t>
      </w:r>
      <w:r w:rsidR="007A30A9">
        <w:t>mätningar</w:t>
      </w:r>
      <w:r w:rsidR="001B3022">
        <w:t xml:space="preserve">. </w:t>
      </w:r>
      <w:r w:rsidR="00166A03">
        <w:t xml:space="preserve">En förutsättning för avancemang eller </w:t>
      </w:r>
      <w:r w:rsidR="003F1E90">
        <w:t xml:space="preserve">snarare </w:t>
      </w:r>
      <w:r w:rsidR="00166A03">
        <w:t xml:space="preserve">på sikt bibehålla nuvarande position är att </w:t>
      </w:r>
      <w:r w:rsidR="00787798">
        <w:t>Sveriges</w:t>
      </w:r>
      <w:r w:rsidR="00166A03">
        <w:t xml:space="preserve"> </w:t>
      </w:r>
      <w:r w:rsidR="00891758">
        <w:t>regering</w:t>
      </w:r>
      <w:r w:rsidR="00166A03">
        <w:t xml:space="preserve"> har en medveten strategi</w:t>
      </w:r>
      <w:r w:rsidR="00BE5083">
        <w:t xml:space="preserve"> för att </w:t>
      </w:r>
      <w:r w:rsidR="00787798">
        <w:t xml:space="preserve">också fortsättningsvis </w:t>
      </w:r>
      <w:r w:rsidR="00BE5083">
        <w:t>ha högrankade universitet</w:t>
      </w:r>
      <w:r w:rsidR="00787798">
        <w:t>.</w:t>
      </w:r>
      <w:r w:rsidR="00166A03">
        <w:t xml:space="preserve"> </w:t>
      </w:r>
      <w:r w:rsidR="00787798">
        <w:t>Regeringen måste därtill vara</w:t>
      </w:r>
      <w:r w:rsidR="00166A03">
        <w:t xml:space="preserve"> ber</w:t>
      </w:r>
      <w:r w:rsidR="00787798">
        <w:t>edd</w:t>
      </w:r>
      <w:r w:rsidR="00166A03">
        <w:t xml:space="preserve"> att prioritera forskningsintensiva universitet </w:t>
      </w:r>
      <w:r w:rsidR="00DC7435">
        <w:t>på bekostnad av mindre universitet</w:t>
      </w:r>
      <w:r w:rsidR="00956687">
        <w:t xml:space="preserve"> och högskolor</w:t>
      </w:r>
      <w:r w:rsidR="00DC7435">
        <w:t xml:space="preserve"> samtidigt som </w:t>
      </w:r>
      <w:r w:rsidR="00BE5083">
        <w:t>grund</w:t>
      </w:r>
      <w:r w:rsidR="00166A03">
        <w:t>utbildningen</w:t>
      </w:r>
      <w:r w:rsidR="00ED4F86">
        <w:t xml:space="preserve"> allt mer</w:t>
      </w:r>
      <w:r w:rsidR="00166A03">
        <w:t xml:space="preserve"> fasas ut på mindre </w:t>
      </w:r>
      <w:r w:rsidR="00AA7719">
        <w:t>lärosäten</w:t>
      </w:r>
      <w:r w:rsidR="00166A03">
        <w:t xml:space="preserve">. </w:t>
      </w:r>
    </w:p>
    <w:p w:rsidR="004A6E95" w:rsidRDefault="004A6E95" w:rsidP="004A6E95"/>
    <w:p w:rsidR="009F0929" w:rsidRDefault="009F0929" w:rsidP="004A6E95">
      <w:r>
        <w:t xml:space="preserve">En annan faktor är kultur och </w:t>
      </w:r>
      <w:r w:rsidR="00900A26">
        <w:t xml:space="preserve">regelmässigt </w:t>
      </w:r>
      <w:r>
        <w:t xml:space="preserve">ramverk. Internationellt finns </w:t>
      </w:r>
      <w:r w:rsidR="001B3022">
        <w:t xml:space="preserve">universitet </w:t>
      </w:r>
      <w:r>
        <w:t xml:space="preserve">med målsättning att </w:t>
      </w:r>
      <w:r w:rsidR="00737224">
        <w:t>räknas till</w:t>
      </w:r>
      <w:r w:rsidR="00460671">
        <w:t xml:space="preserve"> den absoluta toppen </w:t>
      </w:r>
      <w:r>
        <w:t xml:space="preserve">och som </w:t>
      </w:r>
      <w:r w:rsidR="001B3022">
        <w:t>har ett</w:t>
      </w:r>
      <w:r>
        <w:t xml:space="preserve"> </w:t>
      </w:r>
      <w:r w:rsidR="002A33F7">
        <w:t xml:space="preserve">helt </w:t>
      </w:r>
      <w:r w:rsidR="00DC7435">
        <w:t>annat</w:t>
      </w:r>
      <w:r w:rsidR="00ED4F86">
        <w:t xml:space="preserve"> </w:t>
      </w:r>
      <w:r w:rsidR="001B3022">
        <w:t>elitperspektiv</w:t>
      </w:r>
      <w:r>
        <w:t xml:space="preserve"> än KTH. Nanyang har </w:t>
      </w:r>
      <w:r w:rsidR="001B3022">
        <w:t xml:space="preserve">avskedat lärare och forskare som inte ansetts vara tillräckligt bra, något som inte är möjligt, om ens önskvärt, i Sverige liksom i andra länder i </w:t>
      </w:r>
      <w:r w:rsidR="00ED4F86">
        <w:t>E</w:t>
      </w:r>
      <w:r w:rsidR="00971ED2">
        <w:t>uropa</w:t>
      </w:r>
      <w:r w:rsidR="00D26C49">
        <w:t>.</w:t>
      </w:r>
    </w:p>
    <w:p w:rsidR="0096131E" w:rsidRDefault="0096131E" w:rsidP="004A6E95"/>
    <w:p w:rsidR="0062356D" w:rsidRDefault="00385B17" w:rsidP="004A6E95">
      <w:r>
        <w:t>Beaktat</w:t>
      </w:r>
      <w:r w:rsidR="001B3022">
        <w:t xml:space="preserve"> </w:t>
      </w:r>
      <w:r w:rsidR="007A30A9">
        <w:t>ekonomiska, politiska</w:t>
      </w:r>
      <w:r w:rsidR="00900A26">
        <w:t>, regelverksmässiga</w:t>
      </w:r>
      <w:r w:rsidR="007A30A9">
        <w:t xml:space="preserve"> m.m. förutsättningar samt</w:t>
      </w:r>
      <w:r w:rsidR="001B3022">
        <w:t xml:space="preserve"> KTH:s </w:t>
      </w:r>
      <w:r w:rsidR="00971ED2">
        <w:t>mångfacetterade</w:t>
      </w:r>
      <w:r w:rsidR="001B3022">
        <w:t xml:space="preserve"> uppdrag</w:t>
      </w:r>
      <w:r w:rsidR="007A30A9">
        <w:t xml:space="preserve"> och</w:t>
      </w:r>
      <w:r w:rsidR="00971ED2">
        <w:t xml:space="preserve"> </w:t>
      </w:r>
      <w:r w:rsidR="00B67517">
        <w:t xml:space="preserve">uttalade </w:t>
      </w:r>
      <w:r w:rsidR="00971ED2">
        <w:t xml:space="preserve">samhällsansvar </w:t>
      </w:r>
      <w:r w:rsidR="001B3022">
        <w:t xml:space="preserve">torde den mest realistiska målsättningen vara att om möjligt </w:t>
      </w:r>
      <w:r w:rsidR="00C52EA8">
        <w:t>räknas till</w:t>
      </w:r>
      <w:r w:rsidR="001B3022">
        <w:t xml:space="preserve"> de 200 högst rankade universiteten i QS och THE. Att KTH med nuvarande </w:t>
      </w:r>
      <w:r w:rsidR="00971ED2">
        <w:t>prioriter</w:t>
      </w:r>
      <w:r w:rsidR="00D26C49">
        <w:t>ing</w:t>
      </w:r>
      <w:r w:rsidR="00971ED2">
        <w:t>ar</w:t>
      </w:r>
      <w:r w:rsidR="00B67517">
        <w:t>, politiska förutsättningar</w:t>
      </w:r>
      <w:r w:rsidR="00996BE4">
        <w:t>, ramverk</w:t>
      </w:r>
      <w:r w:rsidR="00DC7435">
        <w:t xml:space="preserve"> </w:t>
      </w:r>
      <w:r w:rsidR="001B3022">
        <w:t>och</w:t>
      </w:r>
      <w:r w:rsidR="00B67517">
        <w:t xml:space="preserve"> sett till</w:t>
      </w:r>
      <w:r w:rsidR="001B3022">
        <w:t xml:space="preserve"> ekonomisk utveckling </w:t>
      </w:r>
      <w:r w:rsidR="00737224">
        <w:t>ur ett längre perspektiv</w:t>
      </w:r>
      <w:r w:rsidR="004C2F95">
        <w:t xml:space="preserve"> </w:t>
      </w:r>
      <w:r w:rsidR="001B3022">
        <w:t xml:space="preserve">skulle kunna återfinnas </w:t>
      </w:r>
      <w:r w:rsidR="007A30A9">
        <w:t>bland</w:t>
      </w:r>
      <w:r w:rsidR="007B5694">
        <w:t xml:space="preserve"> topp 90</w:t>
      </w:r>
      <w:r w:rsidR="001B3022">
        <w:t xml:space="preserve"> måste bedömas som</w:t>
      </w:r>
      <w:r w:rsidR="0096131E">
        <w:t xml:space="preserve"> </w:t>
      </w:r>
      <w:r w:rsidR="00A37378">
        <w:t>ytterst</w:t>
      </w:r>
      <w:r w:rsidR="001B3022">
        <w:t xml:space="preserve"> </w:t>
      </w:r>
      <w:r w:rsidR="00BE5083">
        <w:t>b</w:t>
      </w:r>
      <w:r w:rsidR="00737224">
        <w:t>egränsad</w:t>
      </w:r>
      <w:r w:rsidR="001B3022">
        <w:t xml:space="preserve">. </w:t>
      </w:r>
    </w:p>
    <w:p w:rsidR="002C19BF" w:rsidRDefault="002C19BF" w:rsidP="004A6E95"/>
    <w:p w:rsidR="002C19BF" w:rsidRDefault="00080A5B" w:rsidP="004A6E95">
      <w:r>
        <w:t>Samtidigt är det med tanke</w:t>
      </w:r>
      <w:r w:rsidR="002C19BF">
        <w:t xml:space="preserve"> på rekrytering av studenter, fakultet, samarbeten med såväl företag som ledande internationella universitet, konkurrensförmåga om resurser, synlighet, prestige</w:t>
      </w:r>
      <w:r w:rsidR="0096131E">
        <w:t>, alumners anställningsbarhet</w:t>
      </w:r>
      <w:r w:rsidR="002C19BF">
        <w:t xml:space="preserve"> etc</w:t>
      </w:r>
      <w:r>
        <w:t>.</w:t>
      </w:r>
      <w:r w:rsidR="002C19BF">
        <w:t xml:space="preserve"> av stor betydelse att </w:t>
      </w:r>
      <w:r w:rsidR="006279C5">
        <w:t>återfinnas</w:t>
      </w:r>
      <w:r w:rsidR="002C19BF">
        <w:t xml:space="preserve"> bland topp 200 i THE och QS. </w:t>
      </w:r>
    </w:p>
    <w:p w:rsidR="00ED4F86" w:rsidRDefault="00ED4F86" w:rsidP="00486686">
      <w:pPr>
        <w:spacing w:after="200" w:line="276" w:lineRule="auto"/>
      </w:pPr>
    </w:p>
    <w:p w:rsidR="00CA7A88" w:rsidRDefault="00CA7A88" w:rsidP="00CA7A88">
      <w:pPr>
        <w:pStyle w:val="Rubrik1"/>
      </w:pPr>
      <w:bookmarkStart w:id="39" w:name="_Toc53410026"/>
      <w:r>
        <w:lastRenderedPageBreak/>
        <w:t>Beslutade åtgärder</w:t>
      </w:r>
      <w:bookmarkEnd w:id="39"/>
    </w:p>
    <w:p w:rsidR="00CA7A88" w:rsidRDefault="00CA7A88" w:rsidP="004B5BF3"/>
    <w:p w:rsidR="005C581E" w:rsidRDefault="005C581E" w:rsidP="004B5BF3"/>
    <w:p w:rsidR="005C581E" w:rsidRDefault="005C581E" w:rsidP="005C581E">
      <w:pPr>
        <w:pStyle w:val="Rubrik1"/>
      </w:pPr>
      <w:r>
        <w:br w:type="page"/>
      </w:r>
      <w:bookmarkStart w:id="40" w:name="_Toc53410027"/>
      <w:r>
        <w:lastRenderedPageBreak/>
        <w:t>Bilaga</w:t>
      </w:r>
      <w:r w:rsidR="009F0929">
        <w:t xml:space="preserve"> 1.</w:t>
      </w:r>
      <w:r>
        <w:t xml:space="preserve"> Förslag till åtgärder</w:t>
      </w:r>
      <w:r w:rsidR="000405CB">
        <w:t xml:space="preserve"> samt pågående åtgärder</w:t>
      </w:r>
      <w:bookmarkEnd w:id="40"/>
    </w:p>
    <w:p w:rsidR="005C581E" w:rsidRPr="005C581E" w:rsidRDefault="005C581E" w:rsidP="005C581E">
      <w:pPr>
        <w:rPr>
          <w:b/>
        </w:rPr>
      </w:pPr>
      <w:r w:rsidRPr="005C581E">
        <w:rPr>
          <w:b/>
        </w:rPr>
        <w:t>Forskning</w:t>
      </w:r>
    </w:p>
    <w:p w:rsidR="005C581E" w:rsidRPr="00D62B9B" w:rsidRDefault="005C581E" w:rsidP="00D47ECD">
      <w:pPr>
        <w:pStyle w:val="Liststycke"/>
        <w:numPr>
          <w:ilvl w:val="0"/>
          <w:numId w:val="9"/>
        </w:numPr>
        <w:rPr>
          <w:rFonts w:asciiTheme="minorHAnsi" w:hAnsiTheme="minorHAnsi"/>
        </w:rPr>
      </w:pPr>
      <w:r w:rsidRPr="00D62B9B">
        <w:rPr>
          <w:rFonts w:asciiTheme="minorHAnsi" w:hAnsiTheme="minorHAnsi"/>
        </w:rPr>
        <w:t>Som regel är högkvalitativa forskningsmiljöer högre citerade än lågkvalitativa. För att stärka forskningens genomslag är det möjligt att identifiera talangfulla forskare och starka forskargrupper med syfte att göra särskilda satsningar på dessa</w:t>
      </w:r>
    </w:p>
    <w:p w:rsidR="005C581E" w:rsidRPr="00D62B9B" w:rsidRDefault="005C581E" w:rsidP="00D47ECD">
      <w:pPr>
        <w:pStyle w:val="Liststycke"/>
        <w:numPr>
          <w:ilvl w:val="0"/>
          <w:numId w:val="9"/>
        </w:numPr>
        <w:rPr>
          <w:rFonts w:asciiTheme="minorHAnsi" w:hAnsiTheme="minorHAnsi"/>
        </w:rPr>
      </w:pPr>
      <w:r w:rsidRPr="00D62B9B">
        <w:rPr>
          <w:rFonts w:asciiTheme="minorHAnsi" w:hAnsiTheme="minorHAnsi"/>
        </w:rPr>
        <w:t xml:space="preserve">KTH bör se över möjligheten att få mellanskiktet av lärosätets forskare att prestera bättre samt se över forskargrupper med mindre bra kvalitet. Här bör man överväga eventuell nedläggning av svaga forskningsgrupper som både saknar strategisk och utbildningsmässig betydelse </w:t>
      </w:r>
    </w:p>
    <w:p w:rsidR="005C581E" w:rsidRPr="00D62B9B" w:rsidRDefault="005C581E" w:rsidP="00D47ECD">
      <w:pPr>
        <w:pStyle w:val="Liststycke"/>
        <w:numPr>
          <w:ilvl w:val="0"/>
          <w:numId w:val="9"/>
        </w:numPr>
        <w:rPr>
          <w:rFonts w:asciiTheme="minorHAnsi" w:hAnsiTheme="minorHAnsi"/>
        </w:rPr>
      </w:pPr>
      <w:r w:rsidRPr="00D62B9B">
        <w:rPr>
          <w:rFonts w:asciiTheme="minorHAnsi" w:hAnsiTheme="minorHAnsi"/>
        </w:rPr>
        <w:t>Strategi för att behålla KTH:s toppforskare och få dem att prestera bättre</w:t>
      </w:r>
    </w:p>
    <w:p w:rsidR="005C581E" w:rsidRPr="00D62B9B" w:rsidRDefault="005C581E" w:rsidP="00D47ECD">
      <w:pPr>
        <w:pStyle w:val="Liststycke"/>
        <w:numPr>
          <w:ilvl w:val="0"/>
          <w:numId w:val="9"/>
        </w:numPr>
        <w:rPr>
          <w:rFonts w:asciiTheme="minorHAnsi" w:hAnsiTheme="minorHAnsi"/>
        </w:rPr>
      </w:pPr>
      <w:r w:rsidRPr="00D62B9B">
        <w:rPr>
          <w:rFonts w:asciiTheme="minorHAnsi" w:hAnsiTheme="minorHAnsi"/>
        </w:rPr>
        <w:t>Identifiera talangfulla forskare och starka forskargrupper med syfte att göra särskilda satsningar på dessa</w:t>
      </w:r>
    </w:p>
    <w:p w:rsidR="005C581E" w:rsidRPr="00D62B9B" w:rsidRDefault="005C581E" w:rsidP="00D47ECD">
      <w:pPr>
        <w:pStyle w:val="Liststycke"/>
        <w:numPr>
          <w:ilvl w:val="0"/>
          <w:numId w:val="9"/>
        </w:numPr>
        <w:rPr>
          <w:rFonts w:asciiTheme="minorHAnsi" w:hAnsiTheme="minorHAnsi"/>
        </w:rPr>
      </w:pPr>
      <w:r w:rsidRPr="00D62B9B">
        <w:rPr>
          <w:rFonts w:asciiTheme="minorHAnsi" w:hAnsiTheme="minorHAnsi"/>
        </w:rPr>
        <w:t xml:space="preserve">Det som citeras är relativt ofta nydanade forskning. För att få nya perspektiv och mer nydanade resultat är det befogat att satsa på tvärvetenskap samt utöka samarbetet mellan olika forskargrupper inom angränsande forskningsfält. Det är ofta i mötet mellan olika discipliner som nydanade forskning skapas. Det är därmed viktigt att sammanfoga experter från olika områden och skapa mötesplatser samt göra strategiska satsningar på internt samarbete, exempelvis ett temaområde för energi, som förenar olika discipliner över flera skolor. Det är viktigt att KTH håller sig väl framme i forskningsfronten och förmår att identifiera och satsa på de forskningsområden som är viktiga för framtiden </w:t>
      </w:r>
      <w:r w:rsidR="00D62B9B" w:rsidRPr="00D62B9B">
        <w:rPr>
          <w:rFonts w:asciiTheme="minorHAnsi" w:hAnsiTheme="minorHAnsi"/>
          <w:b/>
        </w:rPr>
        <w:t>(pågår)</w:t>
      </w:r>
    </w:p>
    <w:p w:rsidR="005C581E" w:rsidRPr="00D62B9B" w:rsidRDefault="005C581E" w:rsidP="00D47ECD">
      <w:pPr>
        <w:pStyle w:val="Liststycke"/>
        <w:numPr>
          <w:ilvl w:val="0"/>
          <w:numId w:val="9"/>
        </w:numPr>
        <w:rPr>
          <w:rFonts w:asciiTheme="minorHAnsi" w:hAnsiTheme="minorHAnsi"/>
        </w:rPr>
      </w:pPr>
      <w:r w:rsidRPr="00D62B9B">
        <w:rPr>
          <w:rFonts w:asciiTheme="minorHAnsi" w:hAnsiTheme="minorHAnsi"/>
        </w:rPr>
        <w:t>Särskild medfinansiering från KTH centralt för beviljade medel från högkvalitativa forskningsfinansiärer som ERC och VR</w:t>
      </w:r>
    </w:p>
    <w:p w:rsidR="005C581E" w:rsidRPr="00D62B9B" w:rsidRDefault="005C581E" w:rsidP="00D47ECD">
      <w:pPr>
        <w:pStyle w:val="Liststycke"/>
        <w:numPr>
          <w:ilvl w:val="0"/>
          <w:numId w:val="9"/>
        </w:numPr>
        <w:rPr>
          <w:rFonts w:asciiTheme="minorHAnsi" w:hAnsiTheme="minorHAnsi"/>
        </w:rPr>
      </w:pPr>
      <w:r w:rsidRPr="00D62B9B">
        <w:rPr>
          <w:rFonts w:asciiTheme="minorHAnsi" w:hAnsiTheme="minorHAnsi"/>
        </w:rPr>
        <w:t xml:space="preserve">Satsning på infrastruktur </w:t>
      </w:r>
      <w:r w:rsidR="00D62B9B" w:rsidRPr="00D62B9B">
        <w:rPr>
          <w:rFonts w:asciiTheme="minorHAnsi" w:hAnsiTheme="minorHAnsi"/>
          <w:b/>
        </w:rPr>
        <w:t>(pågår)</w:t>
      </w:r>
    </w:p>
    <w:p w:rsidR="005C581E" w:rsidRPr="00A37378" w:rsidRDefault="005C581E" w:rsidP="00D47ECD">
      <w:pPr>
        <w:pStyle w:val="Liststycke"/>
        <w:numPr>
          <w:ilvl w:val="0"/>
          <w:numId w:val="9"/>
        </w:numPr>
      </w:pPr>
      <w:r w:rsidRPr="00D62B9B">
        <w:rPr>
          <w:rFonts w:asciiTheme="minorHAnsi" w:hAnsiTheme="minorHAnsi"/>
        </w:rPr>
        <w:t>För att stärka kvaliteten på publikationerna vore det möjligt att ta fram ett internt kvalitetsgranskningssystem på institutionsnivå. Härmed kan man lägga större vikt vid kvalitet med syfte att minska antalet mindre bra publikationer, som ofta är antingen ociterade eller lågt citerade. KTH behöver sålunda i sin publiceringskultur premiera kvalitet på bekostnad av volym</w:t>
      </w:r>
    </w:p>
    <w:p w:rsidR="00A37378" w:rsidRPr="00A37378" w:rsidRDefault="00A37378" w:rsidP="00A37378">
      <w:pPr>
        <w:pStyle w:val="Liststycke"/>
        <w:numPr>
          <w:ilvl w:val="0"/>
          <w:numId w:val="9"/>
        </w:numPr>
        <w:rPr>
          <w:rFonts w:ascii="Georgia" w:hAnsi="Georgia"/>
        </w:rPr>
      </w:pPr>
      <w:r w:rsidRPr="00A37378">
        <w:rPr>
          <w:rFonts w:ascii="Georgia" w:hAnsi="Georgia"/>
        </w:rPr>
        <w:t>Inrätta ett råd bestående av KTH:s främsta professorer för att ta del av deras synpunkter på hur KTH skall kunna bedriva internationellt konkurrensmässig forskning.</w:t>
      </w:r>
    </w:p>
    <w:p w:rsidR="00D61BAA" w:rsidRPr="00D61BAA" w:rsidRDefault="00D61BAA" w:rsidP="005C581E"/>
    <w:p w:rsidR="005C581E" w:rsidRPr="005C581E" w:rsidRDefault="005C581E" w:rsidP="005C581E">
      <w:pPr>
        <w:rPr>
          <w:b/>
        </w:rPr>
      </w:pPr>
      <w:r w:rsidRPr="005C581E">
        <w:rPr>
          <w:b/>
        </w:rPr>
        <w:t>Förstärkning av fakultet</w:t>
      </w:r>
    </w:p>
    <w:p w:rsidR="005C581E" w:rsidRPr="00D62B9B" w:rsidRDefault="005C581E" w:rsidP="00D47ECD">
      <w:pPr>
        <w:pStyle w:val="Liststycke"/>
        <w:numPr>
          <w:ilvl w:val="0"/>
          <w:numId w:val="10"/>
        </w:numPr>
        <w:rPr>
          <w:rFonts w:asciiTheme="minorHAnsi" w:hAnsiTheme="minorHAnsi"/>
        </w:rPr>
      </w:pPr>
      <w:r w:rsidRPr="00D62B9B">
        <w:rPr>
          <w:rFonts w:asciiTheme="minorHAnsi" w:hAnsiTheme="minorHAnsi"/>
        </w:rPr>
        <w:t xml:space="preserve">Snabbare rekryteringsprocess och bibliometrisk utvärdering av samtliga sökande </w:t>
      </w:r>
      <w:r w:rsidR="00D62B9B" w:rsidRPr="00D62B9B">
        <w:rPr>
          <w:rFonts w:asciiTheme="minorHAnsi" w:hAnsiTheme="minorHAnsi"/>
          <w:b/>
        </w:rPr>
        <w:t>(pågår)</w:t>
      </w:r>
      <w:r w:rsidRPr="00D62B9B">
        <w:rPr>
          <w:rFonts w:asciiTheme="minorHAnsi" w:hAnsiTheme="minorHAnsi"/>
        </w:rPr>
        <w:t xml:space="preserve"> </w:t>
      </w:r>
    </w:p>
    <w:p w:rsidR="005C581E" w:rsidRPr="00D62B9B" w:rsidRDefault="005C581E" w:rsidP="00D47ECD">
      <w:pPr>
        <w:pStyle w:val="Liststycke"/>
        <w:numPr>
          <w:ilvl w:val="0"/>
          <w:numId w:val="10"/>
        </w:numPr>
        <w:rPr>
          <w:rFonts w:asciiTheme="minorHAnsi" w:hAnsiTheme="minorHAnsi"/>
        </w:rPr>
      </w:pPr>
      <w:r w:rsidRPr="00D62B9B">
        <w:rPr>
          <w:rFonts w:asciiTheme="minorHAnsi" w:hAnsiTheme="minorHAnsi"/>
        </w:rPr>
        <w:t xml:space="preserve">Knyta till oss excellenta forskare genom gästprofessurer/ affiliering </w:t>
      </w:r>
      <w:r w:rsidR="00D62B9B" w:rsidRPr="00D62B9B">
        <w:rPr>
          <w:rFonts w:asciiTheme="minorHAnsi" w:hAnsiTheme="minorHAnsi"/>
          <w:b/>
        </w:rPr>
        <w:t>(pågår)</w:t>
      </w:r>
    </w:p>
    <w:p w:rsidR="00A37378" w:rsidRPr="00D62B9B" w:rsidRDefault="005C581E" w:rsidP="00A37378">
      <w:pPr>
        <w:pStyle w:val="Liststycke"/>
        <w:numPr>
          <w:ilvl w:val="0"/>
          <w:numId w:val="10"/>
        </w:numPr>
        <w:rPr>
          <w:rFonts w:asciiTheme="minorHAnsi" w:hAnsiTheme="minorHAnsi"/>
        </w:rPr>
      </w:pPr>
      <w:r w:rsidRPr="00D62B9B">
        <w:rPr>
          <w:rFonts w:asciiTheme="minorHAnsi" w:hAnsiTheme="minorHAnsi"/>
        </w:rPr>
        <w:t>Värva högciterade forskare, utnyttja kallningsförfarandet</w:t>
      </w:r>
      <w:r w:rsidR="00171A43">
        <w:rPr>
          <w:rFonts w:asciiTheme="minorHAnsi" w:hAnsiTheme="minorHAnsi"/>
        </w:rPr>
        <w:t xml:space="preserve"> </w:t>
      </w:r>
      <w:r w:rsidR="00171A43" w:rsidRPr="00171A43">
        <w:rPr>
          <w:rFonts w:asciiTheme="minorHAnsi" w:hAnsiTheme="minorHAnsi"/>
          <w:b/>
        </w:rPr>
        <w:t>(pågår</w:t>
      </w:r>
      <w:r w:rsidR="00A37378">
        <w:rPr>
          <w:rFonts w:asciiTheme="minorHAnsi" w:hAnsiTheme="minorHAnsi"/>
          <w:b/>
        </w:rPr>
        <w:t>)</w:t>
      </w:r>
    </w:p>
    <w:p w:rsidR="005C581E" w:rsidRPr="00D62B9B" w:rsidRDefault="00F9021C" w:rsidP="00D47ECD">
      <w:pPr>
        <w:pStyle w:val="Liststycke"/>
        <w:numPr>
          <w:ilvl w:val="0"/>
          <w:numId w:val="10"/>
        </w:numPr>
        <w:rPr>
          <w:rFonts w:asciiTheme="minorHAnsi" w:hAnsiTheme="minorHAnsi"/>
        </w:rPr>
      </w:pPr>
      <w:r>
        <w:rPr>
          <w:rFonts w:asciiTheme="minorHAnsi" w:hAnsiTheme="minorHAnsi"/>
        </w:rPr>
        <w:t>Rekrytering av</w:t>
      </w:r>
      <w:r w:rsidR="005C581E" w:rsidRPr="00D62B9B">
        <w:rPr>
          <w:rFonts w:asciiTheme="minorHAnsi" w:hAnsiTheme="minorHAnsi"/>
        </w:rPr>
        <w:t xml:space="preserve"> lovande relativt nydisputerade forskare med potential att bli högciterade </w:t>
      </w:r>
      <w:r w:rsidR="00D62B9B" w:rsidRPr="00D62B9B">
        <w:rPr>
          <w:rFonts w:asciiTheme="minorHAnsi" w:hAnsiTheme="minorHAnsi"/>
          <w:b/>
        </w:rPr>
        <w:t>(pågår)</w:t>
      </w:r>
    </w:p>
    <w:p w:rsidR="005C581E" w:rsidRPr="00D62B9B" w:rsidRDefault="005C581E" w:rsidP="00D47ECD">
      <w:pPr>
        <w:pStyle w:val="Liststycke"/>
        <w:numPr>
          <w:ilvl w:val="0"/>
          <w:numId w:val="10"/>
        </w:numPr>
        <w:rPr>
          <w:rFonts w:asciiTheme="minorHAnsi" w:hAnsiTheme="minorHAnsi"/>
        </w:rPr>
      </w:pPr>
      <w:r w:rsidRPr="00D62B9B">
        <w:rPr>
          <w:rFonts w:asciiTheme="minorHAnsi" w:hAnsiTheme="minorHAnsi"/>
        </w:rPr>
        <w:t xml:space="preserve">Ökat fokus på rekrytering av postdocs på bekostnad av doktorander </w:t>
      </w:r>
      <w:r w:rsidR="00C71F92">
        <w:rPr>
          <w:rFonts w:asciiTheme="minorHAnsi" w:hAnsiTheme="minorHAnsi"/>
          <w:b/>
        </w:rPr>
        <w:t>(tendens bland finansiärer</w:t>
      </w:r>
      <w:r w:rsidRPr="00D62B9B">
        <w:rPr>
          <w:rFonts w:asciiTheme="minorHAnsi" w:hAnsiTheme="minorHAnsi"/>
          <w:b/>
        </w:rPr>
        <w:t>)</w:t>
      </w:r>
    </w:p>
    <w:p w:rsidR="005C581E" w:rsidRPr="00D62B9B" w:rsidRDefault="005C581E" w:rsidP="00D47ECD">
      <w:pPr>
        <w:pStyle w:val="Liststycke"/>
        <w:numPr>
          <w:ilvl w:val="0"/>
          <w:numId w:val="10"/>
        </w:numPr>
        <w:rPr>
          <w:rFonts w:asciiTheme="minorHAnsi" w:hAnsiTheme="minorHAnsi"/>
        </w:rPr>
      </w:pPr>
      <w:r w:rsidRPr="00D62B9B">
        <w:rPr>
          <w:rFonts w:asciiTheme="minorHAnsi" w:hAnsiTheme="minorHAnsi"/>
        </w:rPr>
        <w:t>Behåll excellenta forskare som gått i pension för att fortsatt delta i arbetet på institutionen</w:t>
      </w:r>
    </w:p>
    <w:p w:rsidR="005C581E" w:rsidRPr="00D62B9B" w:rsidRDefault="005C581E" w:rsidP="00D47ECD">
      <w:pPr>
        <w:pStyle w:val="Liststycke"/>
        <w:numPr>
          <w:ilvl w:val="0"/>
          <w:numId w:val="10"/>
        </w:numPr>
        <w:rPr>
          <w:rFonts w:asciiTheme="minorHAnsi" w:hAnsiTheme="minorHAnsi"/>
        </w:rPr>
      </w:pPr>
      <w:r w:rsidRPr="00D62B9B">
        <w:rPr>
          <w:rFonts w:asciiTheme="minorHAnsi" w:hAnsiTheme="minorHAnsi"/>
        </w:rPr>
        <w:t>Erbjud plats inom Tenure track för forskare som exempelvis tilldelats ERC grants</w:t>
      </w:r>
    </w:p>
    <w:p w:rsidR="005C581E" w:rsidRPr="00D62B9B" w:rsidRDefault="005C581E" w:rsidP="00D47ECD">
      <w:pPr>
        <w:pStyle w:val="Liststycke"/>
        <w:numPr>
          <w:ilvl w:val="0"/>
          <w:numId w:val="10"/>
        </w:numPr>
        <w:rPr>
          <w:rFonts w:asciiTheme="minorHAnsi" w:hAnsiTheme="minorHAnsi"/>
        </w:rPr>
      </w:pPr>
      <w:r w:rsidRPr="00D62B9B">
        <w:rPr>
          <w:rFonts w:asciiTheme="minorHAnsi" w:hAnsiTheme="minorHAnsi"/>
        </w:rPr>
        <w:t>Satsningar på ledarskap</w:t>
      </w:r>
    </w:p>
    <w:p w:rsidR="005C581E" w:rsidRPr="00D62B9B" w:rsidRDefault="005C581E" w:rsidP="00D47ECD">
      <w:pPr>
        <w:pStyle w:val="Liststycke"/>
        <w:numPr>
          <w:ilvl w:val="0"/>
          <w:numId w:val="10"/>
        </w:numPr>
        <w:rPr>
          <w:rFonts w:asciiTheme="minorHAnsi" w:hAnsiTheme="minorHAnsi"/>
        </w:rPr>
      </w:pPr>
      <w:r w:rsidRPr="00D62B9B">
        <w:rPr>
          <w:rFonts w:asciiTheme="minorHAnsi" w:hAnsiTheme="minorHAnsi"/>
        </w:rPr>
        <w:lastRenderedPageBreak/>
        <w:t xml:space="preserve">En internationellt slagkraftig forskningsmiljö kräver ett handlingskraftigt ledarskap. KTH måste identifiera bra ledare samt satsa på framgångsrika chefer. En skicklig ledare måste vara förmögen att hantera toppforskare, få sin personal att publicera excellent forskning i framstående tidskrifter samt bedriva och utveckla verksamheten också i övrigt </w:t>
      </w:r>
      <w:r w:rsidRPr="00D62B9B">
        <w:rPr>
          <w:rFonts w:asciiTheme="minorHAnsi" w:hAnsiTheme="minorHAnsi"/>
          <w:b/>
        </w:rPr>
        <w:t>(ledarutbildningar finns)</w:t>
      </w:r>
    </w:p>
    <w:p w:rsidR="00D61BAA" w:rsidRDefault="00D61BAA" w:rsidP="005C581E">
      <w:pPr>
        <w:rPr>
          <w:b/>
        </w:rPr>
      </w:pPr>
    </w:p>
    <w:p w:rsidR="005C581E" w:rsidRPr="005C581E" w:rsidRDefault="005C581E" w:rsidP="005C581E">
      <w:pPr>
        <w:rPr>
          <w:b/>
        </w:rPr>
      </w:pPr>
      <w:r w:rsidRPr="005C581E">
        <w:rPr>
          <w:b/>
        </w:rPr>
        <w:t>Organisatoriska förändringar</w:t>
      </w:r>
    </w:p>
    <w:p w:rsidR="005C581E" w:rsidRPr="00D62B9B" w:rsidRDefault="005C581E" w:rsidP="00D47ECD">
      <w:pPr>
        <w:pStyle w:val="Liststycke"/>
        <w:numPr>
          <w:ilvl w:val="0"/>
          <w:numId w:val="11"/>
        </w:numPr>
        <w:rPr>
          <w:rFonts w:asciiTheme="minorHAnsi" w:hAnsiTheme="minorHAnsi"/>
        </w:rPr>
      </w:pPr>
      <w:r w:rsidRPr="00D62B9B">
        <w:rPr>
          <w:rFonts w:asciiTheme="minorHAnsi" w:hAnsiTheme="minorHAnsi"/>
        </w:rPr>
        <w:t xml:space="preserve">Se över organisationen med syfte att slå ihop institutioner alternativt flytta ihop grupperingar med samma eller liknande verksamhet på olika institutioner med syfte att uppnå synergieffekter och ökad kritisk massa </w:t>
      </w:r>
      <w:r w:rsidRPr="00D62B9B">
        <w:rPr>
          <w:rFonts w:asciiTheme="minorHAnsi" w:hAnsiTheme="minorHAnsi"/>
          <w:b/>
        </w:rPr>
        <w:t>(omorganisation av skolorna genomförd, i övrigt kontinuerligt arbete)</w:t>
      </w:r>
    </w:p>
    <w:p w:rsidR="00D61BAA" w:rsidRDefault="00D61BAA" w:rsidP="005C581E">
      <w:pPr>
        <w:rPr>
          <w:b/>
        </w:rPr>
      </w:pPr>
    </w:p>
    <w:p w:rsidR="005C581E" w:rsidRPr="005C581E" w:rsidRDefault="005C581E" w:rsidP="005C581E">
      <w:pPr>
        <w:rPr>
          <w:b/>
        </w:rPr>
      </w:pPr>
      <w:r w:rsidRPr="005C581E">
        <w:rPr>
          <w:b/>
        </w:rPr>
        <w:t>Forskningssynlighet</w:t>
      </w:r>
    </w:p>
    <w:p w:rsidR="005C581E" w:rsidRPr="00D62B9B" w:rsidRDefault="005C581E" w:rsidP="00D47ECD">
      <w:pPr>
        <w:pStyle w:val="Liststycke"/>
        <w:numPr>
          <w:ilvl w:val="0"/>
          <w:numId w:val="11"/>
        </w:numPr>
        <w:rPr>
          <w:rFonts w:asciiTheme="minorHAnsi" w:hAnsiTheme="minorHAnsi"/>
        </w:rPr>
      </w:pPr>
      <w:r w:rsidRPr="00D62B9B">
        <w:rPr>
          <w:rFonts w:asciiTheme="minorHAnsi" w:hAnsiTheme="minorHAnsi"/>
        </w:rPr>
        <w:t xml:space="preserve">Ta fram en publiceringsstrategi för skola och institution </w:t>
      </w:r>
      <w:r w:rsidR="00D62B9B" w:rsidRPr="00D62B9B">
        <w:rPr>
          <w:rFonts w:asciiTheme="minorHAnsi" w:hAnsiTheme="minorHAnsi"/>
          <w:b/>
        </w:rPr>
        <w:t>(pågår)</w:t>
      </w:r>
    </w:p>
    <w:p w:rsidR="005C581E" w:rsidRPr="00D62B9B" w:rsidRDefault="005C581E" w:rsidP="00D47ECD">
      <w:pPr>
        <w:pStyle w:val="Liststycke"/>
        <w:numPr>
          <w:ilvl w:val="0"/>
          <w:numId w:val="11"/>
        </w:numPr>
        <w:rPr>
          <w:rFonts w:asciiTheme="minorHAnsi" w:hAnsiTheme="minorHAnsi"/>
        </w:rPr>
      </w:pPr>
      <w:r w:rsidRPr="00D62B9B">
        <w:rPr>
          <w:rFonts w:asciiTheme="minorHAnsi" w:hAnsiTheme="minorHAnsi"/>
        </w:rPr>
        <w:t xml:space="preserve">Utöka graden av internationell sampublicering </w:t>
      </w:r>
      <w:r w:rsidR="00D62B9B" w:rsidRPr="00D62B9B">
        <w:rPr>
          <w:rFonts w:asciiTheme="minorHAnsi" w:hAnsiTheme="minorHAnsi"/>
          <w:b/>
        </w:rPr>
        <w:t>(pågår)</w:t>
      </w:r>
    </w:p>
    <w:p w:rsidR="005C581E" w:rsidRPr="00D62B9B" w:rsidRDefault="005C581E" w:rsidP="00D47ECD">
      <w:pPr>
        <w:pStyle w:val="Liststycke"/>
        <w:numPr>
          <w:ilvl w:val="0"/>
          <w:numId w:val="11"/>
        </w:numPr>
        <w:rPr>
          <w:rFonts w:asciiTheme="minorHAnsi" w:hAnsiTheme="minorHAnsi"/>
        </w:rPr>
      </w:pPr>
      <w:r w:rsidRPr="00D62B9B">
        <w:rPr>
          <w:rFonts w:asciiTheme="minorHAnsi" w:hAnsiTheme="minorHAnsi"/>
        </w:rPr>
        <w:t xml:space="preserve">Publicera framför allt i High Impact Journals inom relevant fält samt i högkvalitativa kanaler </w:t>
      </w:r>
      <w:r w:rsidR="00D62B9B" w:rsidRPr="00D62B9B">
        <w:rPr>
          <w:rFonts w:asciiTheme="minorHAnsi" w:hAnsiTheme="minorHAnsi"/>
          <w:b/>
        </w:rPr>
        <w:t>(pågår)</w:t>
      </w:r>
    </w:p>
    <w:p w:rsidR="005C581E" w:rsidRPr="00D62B9B" w:rsidRDefault="005C581E" w:rsidP="00D47ECD">
      <w:pPr>
        <w:pStyle w:val="Liststycke"/>
        <w:numPr>
          <w:ilvl w:val="0"/>
          <w:numId w:val="11"/>
        </w:numPr>
        <w:rPr>
          <w:rFonts w:asciiTheme="minorHAnsi" w:hAnsiTheme="minorHAnsi"/>
        </w:rPr>
      </w:pPr>
      <w:r w:rsidRPr="00D62B9B">
        <w:rPr>
          <w:rFonts w:asciiTheme="minorHAnsi" w:hAnsiTheme="minorHAnsi"/>
        </w:rPr>
        <w:t xml:space="preserve">Publicera i tidsskrifter som är indexerade i WoS och Scopus </w:t>
      </w:r>
      <w:r w:rsidR="00D62B9B" w:rsidRPr="00D62B9B">
        <w:rPr>
          <w:rFonts w:asciiTheme="minorHAnsi" w:hAnsiTheme="minorHAnsi"/>
          <w:b/>
        </w:rPr>
        <w:t>(pågår)</w:t>
      </w:r>
    </w:p>
    <w:p w:rsidR="005C581E" w:rsidRPr="00D62B9B" w:rsidRDefault="005C581E" w:rsidP="00D47ECD">
      <w:pPr>
        <w:pStyle w:val="Liststycke"/>
        <w:numPr>
          <w:ilvl w:val="0"/>
          <w:numId w:val="11"/>
        </w:numPr>
        <w:rPr>
          <w:rFonts w:asciiTheme="minorHAnsi" w:hAnsiTheme="minorHAnsi"/>
        </w:rPr>
      </w:pPr>
      <w:r w:rsidRPr="00D62B9B">
        <w:rPr>
          <w:rFonts w:asciiTheme="minorHAnsi" w:hAnsiTheme="minorHAnsi"/>
        </w:rPr>
        <w:t xml:space="preserve">Publicera i Open Acess </w:t>
      </w:r>
      <w:r w:rsidR="00D62B9B" w:rsidRPr="00D62B9B">
        <w:rPr>
          <w:rFonts w:asciiTheme="minorHAnsi" w:hAnsiTheme="minorHAnsi"/>
          <w:b/>
        </w:rPr>
        <w:t>(pågår)</w:t>
      </w:r>
    </w:p>
    <w:p w:rsidR="005C581E" w:rsidRPr="00D62B9B" w:rsidRDefault="005C581E" w:rsidP="00D47ECD">
      <w:pPr>
        <w:pStyle w:val="Liststycke"/>
        <w:numPr>
          <w:ilvl w:val="0"/>
          <w:numId w:val="11"/>
        </w:numPr>
        <w:rPr>
          <w:rFonts w:asciiTheme="minorHAnsi" w:hAnsiTheme="minorHAnsi"/>
        </w:rPr>
      </w:pPr>
      <w:r w:rsidRPr="00D62B9B">
        <w:rPr>
          <w:rFonts w:asciiTheme="minorHAnsi" w:hAnsiTheme="minorHAnsi"/>
        </w:rPr>
        <w:t xml:space="preserve">Arrangera konferenser på KTH med stor synlighet inom fältet samt att KTH forskare deltar i internationellt ledande konferenser inom sitt forskningsområde </w:t>
      </w:r>
      <w:r w:rsidR="00D62B9B" w:rsidRPr="00D62B9B">
        <w:rPr>
          <w:rFonts w:asciiTheme="minorHAnsi" w:hAnsiTheme="minorHAnsi"/>
          <w:b/>
        </w:rPr>
        <w:t>(pågår)</w:t>
      </w:r>
    </w:p>
    <w:p w:rsidR="005C581E" w:rsidRPr="00D62B9B" w:rsidRDefault="005C581E" w:rsidP="00D47ECD">
      <w:pPr>
        <w:pStyle w:val="Liststycke"/>
        <w:numPr>
          <w:ilvl w:val="0"/>
          <w:numId w:val="11"/>
        </w:numPr>
        <w:rPr>
          <w:rFonts w:asciiTheme="minorHAnsi" w:hAnsiTheme="minorHAnsi"/>
        </w:rPr>
      </w:pPr>
      <w:r w:rsidRPr="00D62B9B">
        <w:rPr>
          <w:rFonts w:asciiTheme="minorHAnsi" w:hAnsiTheme="minorHAnsi"/>
        </w:rPr>
        <w:t xml:space="preserve">Marknadsföring av forskningsresultat på konferenser etc. </w:t>
      </w:r>
      <w:r w:rsidR="00D62B9B" w:rsidRPr="00D62B9B">
        <w:rPr>
          <w:rFonts w:asciiTheme="minorHAnsi" w:hAnsiTheme="minorHAnsi"/>
          <w:b/>
        </w:rPr>
        <w:t>(pågår)</w:t>
      </w:r>
    </w:p>
    <w:p w:rsidR="005C581E" w:rsidRPr="00D62B9B" w:rsidRDefault="005C581E" w:rsidP="00D47ECD">
      <w:pPr>
        <w:pStyle w:val="Liststycke"/>
        <w:numPr>
          <w:ilvl w:val="0"/>
          <w:numId w:val="11"/>
        </w:numPr>
        <w:rPr>
          <w:rFonts w:asciiTheme="minorHAnsi" w:hAnsiTheme="minorHAnsi"/>
        </w:rPr>
      </w:pPr>
      <w:r w:rsidRPr="00D62B9B">
        <w:rPr>
          <w:rFonts w:asciiTheme="minorHAnsi" w:hAnsiTheme="minorHAnsi"/>
        </w:rPr>
        <w:t xml:space="preserve">Informationsinsatser bibliometri, Open Acess och rankning </w:t>
      </w:r>
      <w:r w:rsidR="00D62B9B" w:rsidRPr="00D62B9B">
        <w:rPr>
          <w:rFonts w:asciiTheme="minorHAnsi" w:hAnsiTheme="minorHAnsi"/>
          <w:b/>
        </w:rPr>
        <w:t>(</w:t>
      </w:r>
      <w:r w:rsidR="00A37378">
        <w:rPr>
          <w:rFonts w:asciiTheme="minorHAnsi" w:hAnsiTheme="minorHAnsi"/>
          <w:b/>
        </w:rPr>
        <w:t>slutfört</w:t>
      </w:r>
      <w:r w:rsidR="006D31F8">
        <w:rPr>
          <w:rFonts w:asciiTheme="minorHAnsi" w:hAnsiTheme="minorHAnsi"/>
          <w:b/>
        </w:rPr>
        <w:t>, Mikael Östling och P-A Östling samt en bibliometriker skall ut på ny turné</w:t>
      </w:r>
      <w:r w:rsidR="00D62B9B" w:rsidRPr="00D62B9B">
        <w:rPr>
          <w:rFonts w:asciiTheme="minorHAnsi" w:hAnsiTheme="minorHAnsi"/>
          <w:b/>
        </w:rPr>
        <w:t>)</w:t>
      </w:r>
    </w:p>
    <w:p w:rsidR="005C581E" w:rsidRPr="00D62B9B" w:rsidRDefault="005C581E" w:rsidP="00D47ECD">
      <w:pPr>
        <w:pStyle w:val="Liststycke"/>
        <w:numPr>
          <w:ilvl w:val="0"/>
          <w:numId w:val="11"/>
        </w:numPr>
        <w:rPr>
          <w:rFonts w:asciiTheme="minorHAnsi" w:hAnsiTheme="minorHAnsi"/>
        </w:rPr>
      </w:pPr>
      <w:r w:rsidRPr="00D62B9B">
        <w:rPr>
          <w:rFonts w:asciiTheme="minorHAnsi" w:hAnsiTheme="minorHAnsi"/>
        </w:rPr>
        <w:t>Fler interna eller externa specialister som skriver forskningsansökningar, något som sannolikt på sikt skulle ge en ökad beviljandegrad</w:t>
      </w:r>
    </w:p>
    <w:p w:rsidR="005C6F26" w:rsidRDefault="005C6F26" w:rsidP="005C581E">
      <w:pPr>
        <w:rPr>
          <w:b/>
        </w:rPr>
      </w:pPr>
    </w:p>
    <w:p w:rsidR="005C581E" w:rsidRPr="005C581E" w:rsidRDefault="005C581E" w:rsidP="005C581E">
      <w:pPr>
        <w:rPr>
          <w:b/>
        </w:rPr>
      </w:pPr>
      <w:r w:rsidRPr="005C581E">
        <w:rPr>
          <w:b/>
        </w:rPr>
        <w:t>Kvalitetsutvärderingar</w:t>
      </w:r>
    </w:p>
    <w:p w:rsidR="005C581E" w:rsidRPr="00D62B9B" w:rsidRDefault="005C581E" w:rsidP="00D47ECD">
      <w:pPr>
        <w:pStyle w:val="Liststycke"/>
        <w:numPr>
          <w:ilvl w:val="0"/>
          <w:numId w:val="12"/>
        </w:numPr>
        <w:rPr>
          <w:rFonts w:asciiTheme="minorHAnsi" w:hAnsiTheme="minorHAnsi"/>
        </w:rPr>
      </w:pPr>
      <w:r w:rsidRPr="00D62B9B">
        <w:rPr>
          <w:rFonts w:asciiTheme="minorHAnsi" w:hAnsiTheme="minorHAnsi"/>
        </w:rPr>
        <w:t xml:space="preserve">Återkommande forskningsutvärderingar: RAE och internt kvalitetssystem </w:t>
      </w:r>
      <w:r w:rsidR="00D62B9B" w:rsidRPr="00D62B9B">
        <w:rPr>
          <w:rFonts w:asciiTheme="minorHAnsi" w:hAnsiTheme="minorHAnsi"/>
          <w:b/>
        </w:rPr>
        <w:t>(pågår)</w:t>
      </w:r>
    </w:p>
    <w:p w:rsidR="005C581E" w:rsidRPr="00D62B9B" w:rsidRDefault="005C581E" w:rsidP="00D47ECD">
      <w:pPr>
        <w:pStyle w:val="Liststycke"/>
        <w:numPr>
          <w:ilvl w:val="0"/>
          <w:numId w:val="12"/>
        </w:numPr>
        <w:rPr>
          <w:rFonts w:asciiTheme="minorHAnsi" w:hAnsiTheme="minorHAnsi"/>
        </w:rPr>
      </w:pPr>
      <w:r w:rsidRPr="00D62B9B">
        <w:rPr>
          <w:rFonts w:asciiTheme="minorHAnsi" w:hAnsiTheme="minorHAnsi"/>
        </w:rPr>
        <w:t xml:space="preserve">Årlig bibliometrisk uppföljning (ÅBU) </w:t>
      </w:r>
      <w:r w:rsidRPr="00D62B9B">
        <w:rPr>
          <w:rFonts w:asciiTheme="minorHAnsi" w:hAnsiTheme="minorHAnsi"/>
          <w:b/>
        </w:rPr>
        <w:t>(finns, utveckling pågår)</w:t>
      </w:r>
    </w:p>
    <w:p w:rsidR="005C6F26" w:rsidRDefault="005C6F26" w:rsidP="005C581E">
      <w:pPr>
        <w:rPr>
          <w:b/>
        </w:rPr>
      </w:pPr>
    </w:p>
    <w:p w:rsidR="005C581E" w:rsidRPr="005C581E" w:rsidRDefault="005C581E" w:rsidP="005C581E">
      <w:pPr>
        <w:rPr>
          <w:b/>
        </w:rPr>
      </w:pPr>
      <w:r w:rsidRPr="005C581E">
        <w:rPr>
          <w:b/>
        </w:rPr>
        <w:t>Resursfördelning</w:t>
      </w:r>
      <w:r w:rsidR="00791544">
        <w:rPr>
          <w:b/>
        </w:rPr>
        <w:t>/ belöningar</w:t>
      </w:r>
    </w:p>
    <w:p w:rsidR="005C581E" w:rsidRPr="00D62B9B" w:rsidRDefault="005C581E" w:rsidP="00D47ECD">
      <w:pPr>
        <w:pStyle w:val="Liststycke"/>
        <w:numPr>
          <w:ilvl w:val="0"/>
          <w:numId w:val="13"/>
        </w:numPr>
        <w:rPr>
          <w:rFonts w:asciiTheme="minorHAnsi" w:hAnsiTheme="minorHAnsi"/>
        </w:rPr>
      </w:pPr>
      <w:r w:rsidRPr="00D62B9B">
        <w:rPr>
          <w:rFonts w:asciiTheme="minorHAnsi" w:hAnsiTheme="minorHAnsi"/>
        </w:rPr>
        <w:t xml:space="preserve">Ökad basfinansiering kan på sikt medföra ökad citeringsgrad, då </w:t>
      </w:r>
      <w:r w:rsidR="00AB7FB1">
        <w:rPr>
          <w:rFonts w:asciiTheme="minorHAnsi" w:hAnsiTheme="minorHAnsi"/>
        </w:rPr>
        <w:t xml:space="preserve">det </w:t>
      </w:r>
      <w:r w:rsidRPr="00D62B9B">
        <w:rPr>
          <w:rFonts w:asciiTheme="minorHAnsi" w:hAnsiTheme="minorHAnsi"/>
        </w:rPr>
        <w:t xml:space="preserve">finns en korrelation mellan resurser och citering </w:t>
      </w:r>
    </w:p>
    <w:p w:rsidR="005C581E" w:rsidRPr="00D62B9B" w:rsidRDefault="005C581E" w:rsidP="00D47ECD">
      <w:pPr>
        <w:pStyle w:val="Liststycke"/>
        <w:numPr>
          <w:ilvl w:val="0"/>
          <w:numId w:val="13"/>
        </w:numPr>
        <w:rPr>
          <w:rFonts w:asciiTheme="minorHAnsi" w:hAnsiTheme="minorHAnsi"/>
        </w:rPr>
      </w:pPr>
      <w:r w:rsidRPr="00D62B9B">
        <w:rPr>
          <w:rFonts w:asciiTheme="minorHAnsi" w:hAnsiTheme="minorHAnsi"/>
        </w:rPr>
        <w:t xml:space="preserve">Utökad prestationsmässig resurstilldelning baserad på bibliometriska indikatorer </w:t>
      </w:r>
      <w:r w:rsidRPr="00D62B9B">
        <w:rPr>
          <w:rFonts w:asciiTheme="minorHAnsi" w:hAnsiTheme="minorHAnsi"/>
          <w:b/>
        </w:rPr>
        <w:t>(En utredning har genomförts)</w:t>
      </w:r>
    </w:p>
    <w:p w:rsidR="005C581E" w:rsidRPr="00D62B9B" w:rsidRDefault="005C581E" w:rsidP="00D47ECD">
      <w:pPr>
        <w:pStyle w:val="Liststycke"/>
        <w:numPr>
          <w:ilvl w:val="0"/>
          <w:numId w:val="13"/>
        </w:numPr>
        <w:rPr>
          <w:rFonts w:asciiTheme="minorHAnsi" w:hAnsiTheme="minorHAnsi"/>
        </w:rPr>
      </w:pPr>
      <w:r w:rsidRPr="00D62B9B">
        <w:rPr>
          <w:rFonts w:asciiTheme="minorHAnsi" w:hAnsiTheme="minorHAnsi"/>
        </w:rPr>
        <w:t xml:space="preserve">Ta fram en ny resursfördelning som på sikt gynnar excellens och starka forskningsmiljöer med stärkt basfinansiering </w:t>
      </w:r>
      <w:r w:rsidR="00D62B9B" w:rsidRPr="00D62B9B">
        <w:rPr>
          <w:rFonts w:asciiTheme="minorHAnsi" w:hAnsiTheme="minorHAnsi"/>
          <w:b/>
        </w:rPr>
        <w:t>(pågår)</w:t>
      </w:r>
    </w:p>
    <w:p w:rsidR="005C581E" w:rsidRPr="00D62B9B" w:rsidRDefault="005C581E" w:rsidP="00D47ECD">
      <w:pPr>
        <w:pStyle w:val="Liststycke"/>
        <w:numPr>
          <w:ilvl w:val="0"/>
          <w:numId w:val="13"/>
        </w:numPr>
        <w:rPr>
          <w:rFonts w:asciiTheme="minorHAnsi" w:hAnsiTheme="minorHAnsi"/>
        </w:rPr>
      </w:pPr>
      <w:r w:rsidRPr="00D62B9B">
        <w:rPr>
          <w:rFonts w:asciiTheme="minorHAnsi" w:hAnsiTheme="minorHAnsi"/>
        </w:rPr>
        <w:t>Ekonomisk belöning för högciterade pek</w:t>
      </w:r>
    </w:p>
    <w:p w:rsidR="005C6F26" w:rsidRDefault="005C6F26" w:rsidP="005C581E">
      <w:pPr>
        <w:rPr>
          <w:b/>
        </w:rPr>
      </w:pPr>
    </w:p>
    <w:p w:rsidR="005C581E" w:rsidRPr="005C581E" w:rsidRDefault="005C581E" w:rsidP="005C581E">
      <w:pPr>
        <w:rPr>
          <w:b/>
        </w:rPr>
      </w:pPr>
      <w:r w:rsidRPr="005C581E">
        <w:rPr>
          <w:b/>
        </w:rPr>
        <w:t>Utbildning</w:t>
      </w:r>
    </w:p>
    <w:p w:rsidR="005C581E" w:rsidRPr="00D62B9B" w:rsidRDefault="005C581E" w:rsidP="00D47ECD">
      <w:pPr>
        <w:pStyle w:val="Liststycke"/>
        <w:numPr>
          <w:ilvl w:val="0"/>
          <w:numId w:val="14"/>
        </w:numPr>
        <w:rPr>
          <w:rFonts w:asciiTheme="minorHAnsi" w:hAnsiTheme="minorHAnsi"/>
        </w:rPr>
      </w:pPr>
      <w:r w:rsidRPr="00D62B9B">
        <w:rPr>
          <w:rFonts w:asciiTheme="minorHAnsi" w:hAnsiTheme="minorHAnsi"/>
        </w:rPr>
        <w:t>Hög andel studenter på avancerad nivå</w:t>
      </w:r>
    </w:p>
    <w:p w:rsidR="005C581E" w:rsidRPr="00D62B9B" w:rsidRDefault="005C581E" w:rsidP="00D47ECD">
      <w:pPr>
        <w:pStyle w:val="Liststycke"/>
        <w:numPr>
          <w:ilvl w:val="0"/>
          <w:numId w:val="14"/>
        </w:numPr>
        <w:rPr>
          <w:rFonts w:asciiTheme="minorHAnsi" w:hAnsiTheme="minorHAnsi"/>
        </w:rPr>
      </w:pPr>
      <w:r w:rsidRPr="00D62B9B">
        <w:rPr>
          <w:rFonts w:asciiTheme="minorHAnsi" w:hAnsiTheme="minorHAnsi"/>
        </w:rPr>
        <w:t>Förbättrad genomströmning på forskarutbildningen</w:t>
      </w:r>
    </w:p>
    <w:p w:rsidR="005C581E" w:rsidRPr="00D62B9B" w:rsidRDefault="005C581E" w:rsidP="00D47ECD">
      <w:pPr>
        <w:pStyle w:val="Liststycke"/>
        <w:numPr>
          <w:ilvl w:val="0"/>
          <w:numId w:val="14"/>
        </w:numPr>
        <w:rPr>
          <w:rFonts w:asciiTheme="minorHAnsi" w:hAnsiTheme="minorHAnsi"/>
        </w:rPr>
      </w:pPr>
      <w:r w:rsidRPr="00D62B9B">
        <w:rPr>
          <w:rFonts w:asciiTheme="minorHAnsi" w:hAnsiTheme="minorHAnsi"/>
        </w:rPr>
        <w:t>Hög lärartäthet</w:t>
      </w:r>
    </w:p>
    <w:p w:rsidR="005C581E" w:rsidRPr="00D62B9B" w:rsidRDefault="005C581E" w:rsidP="00D47ECD">
      <w:pPr>
        <w:pStyle w:val="Liststycke"/>
        <w:numPr>
          <w:ilvl w:val="0"/>
          <w:numId w:val="14"/>
        </w:numPr>
        <w:rPr>
          <w:rFonts w:asciiTheme="minorHAnsi" w:hAnsiTheme="minorHAnsi"/>
        </w:rPr>
      </w:pPr>
      <w:r w:rsidRPr="00D62B9B">
        <w:rPr>
          <w:rFonts w:asciiTheme="minorHAnsi" w:hAnsiTheme="minorHAnsi"/>
        </w:rPr>
        <w:t xml:space="preserve">Internt kvalitetssystem för utbildning </w:t>
      </w:r>
      <w:r w:rsidR="00D62B9B" w:rsidRPr="00D62B9B">
        <w:rPr>
          <w:rFonts w:asciiTheme="minorHAnsi" w:hAnsiTheme="minorHAnsi"/>
          <w:b/>
        </w:rPr>
        <w:t>(pågår)</w:t>
      </w:r>
    </w:p>
    <w:p w:rsidR="005C581E" w:rsidRPr="00D62B9B" w:rsidRDefault="005C581E" w:rsidP="00D47ECD">
      <w:pPr>
        <w:pStyle w:val="Liststycke"/>
        <w:numPr>
          <w:ilvl w:val="0"/>
          <w:numId w:val="14"/>
        </w:numPr>
        <w:rPr>
          <w:rFonts w:asciiTheme="minorHAnsi" w:hAnsiTheme="minorHAnsi"/>
        </w:rPr>
      </w:pPr>
      <w:r w:rsidRPr="00D62B9B">
        <w:rPr>
          <w:rFonts w:asciiTheme="minorHAnsi" w:hAnsiTheme="minorHAnsi"/>
        </w:rPr>
        <w:lastRenderedPageBreak/>
        <w:t>Höj kvaliteten på publikationerna i licentiat</w:t>
      </w:r>
      <w:r w:rsidR="00A37378">
        <w:rPr>
          <w:rFonts w:asciiTheme="minorHAnsi" w:hAnsiTheme="minorHAnsi"/>
        </w:rPr>
        <w:t>-</w:t>
      </w:r>
      <w:r w:rsidRPr="00D62B9B">
        <w:rPr>
          <w:rFonts w:asciiTheme="minorHAnsi" w:hAnsiTheme="minorHAnsi"/>
        </w:rPr>
        <w:t xml:space="preserve"> och doktorsavhandlingar och sänk det informella kravet på fyra till sex publikationer till tre publikationer </w:t>
      </w:r>
    </w:p>
    <w:p w:rsidR="005C581E" w:rsidRPr="00D62B9B" w:rsidRDefault="005C581E" w:rsidP="00D47ECD">
      <w:pPr>
        <w:pStyle w:val="Liststycke"/>
        <w:numPr>
          <w:ilvl w:val="0"/>
          <w:numId w:val="14"/>
        </w:numPr>
        <w:rPr>
          <w:rFonts w:asciiTheme="minorHAnsi" w:hAnsiTheme="minorHAnsi"/>
        </w:rPr>
      </w:pPr>
      <w:r w:rsidRPr="00D62B9B">
        <w:rPr>
          <w:rFonts w:asciiTheme="minorHAnsi" w:hAnsiTheme="minorHAnsi"/>
        </w:rPr>
        <w:t>Utfärda färre kandidatexamina</w:t>
      </w:r>
    </w:p>
    <w:p w:rsidR="005C581E" w:rsidRPr="00384AA1" w:rsidRDefault="005C581E" w:rsidP="00D47ECD">
      <w:pPr>
        <w:pStyle w:val="Liststycke"/>
        <w:numPr>
          <w:ilvl w:val="0"/>
          <w:numId w:val="14"/>
        </w:numPr>
        <w:rPr>
          <w:rFonts w:asciiTheme="minorHAnsi" w:hAnsiTheme="minorHAnsi"/>
        </w:rPr>
      </w:pPr>
      <w:r w:rsidRPr="00384AA1">
        <w:rPr>
          <w:rFonts w:asciiTheme="minorHAnsi" w:hAnsiTheme="minorHAnsi"/>
        </w:rPr>
        <w:t xml:space="preserve">Moocar bidrar till synlighet och attraherar studenter att söka KTH:s utbildningar. </w:t>
      </w:r>
      <w:r w:rsidRPr="00384AA1">
        <w:rPr>
          <w:rFonts w:asciiTheme="minorHAnsi" w:hAnsiTheme="minorHAnsi"/>
          <w:b/>
        </w:rPr>
        <w:t>(KTH är störst på moocar i Sverige med cirka 16-17 kurser)</w:t>
      </w:r>
    </w:p>
    <w:p w:rsidR="005C581E" w:rsidRPr="00384AA1" w:rsidRDefault="005C581E" w:rsidP="00D47ECD">
      <w:pPr>
        <w:pStyle w:val="Liststycke"/>
        <w:numPr>
          <w:ilvl w:val="0"/>
          <w:numId w:val="14"/>
        </w:numPr>
        <w:rPr>
          <w:rFonts w:asciiTheme="minorHAnsi" w:hAnsiTheme="minorHAnsi"/>
        </w:rPr>
      </w:pPr>
      <w:r w:rsidRPr="00384AA1">
        <w:rPr>
          <w:rFonts w:asciiTheme="minorHAnsi" w:hAnsiTheme="minorHAnsi"/>
        </w:rPr>
        <w:t xml:space="preserve">Återinvestera intäkter från betalande studenter i excellenta miljöer. </w:t>
      </w:r>
      <w:r w:rsidRPr="00384AA1">
        <w:rPr>
          <w:rFonts w:asciiTheme="minorHAnsi" w:hAnsiTheme="minorHAnsi"/>
          <w:b/>
        </w:rPr>
        <w:t>(Genomför</w:t>
      </w:r>
      <w:r w:rsidR="00A37378">
        <w:rPr>
          <w:rFonts w:asciiTheme="minorHAnsi" w:hAnsiTheme="minorHAnsi"/>
          <w:b/>
        </w:rPr>
        <w:t>de</w:t>
      </w:r>
      <w:r w:rsidRPr="00384AA1">
        <w:rPr>
          <w:rFonts w:asciiTheme="minorHAnsi" w:hAnsiTheme="minorHAnsi"/>
          <w:b/>
        </w:rPr>
        <w:t>s 2019 med en bred satsning på masterutbildningarna)</w:t>
      </w:r>
    </w:p>
    <w:p w:rsidR="00E40A1B" w:rsidRDefault="00E40A1B" w:rsidP="005C581E"/>
    <w:p w:rsidR="00E40A1B" w:rsidRPr="00ED03A0" w:rsidRDefault="00E40A1B" w:rsidP="00ED03A0">
      <w:pPr>
        <w:rPr>
          <w:b/>
        </w:rPr>
      </w:pPr>
      <w:r w:rsidRPr="00ED03A0">
        <w:rPr>
          <w:b/>
        </w:rPr>
        <w:t>Forskningsinstitut</w:t>
      </w:r>
    </w:p>
    <w:p w:rsidR="00E40A1B" w:rsidRDefault="00A37378" w:rsidP="008605B7">
      <w:pPr>
        <w:pStyle w:val="Liststycke"/>
        <w:numPr>
          <w:ilvl w:val="0"/>
          <w:numId w:val="15"/>
        </w:numPr>
      </w:pPr>
      <w:r>
        <w:rPr>
          <w:rFonts w:asciiTheme="minorHAnsi" w:hAnsiTheme="minorHAnsi"/>
        </w:rPr>
        <w:t>Genomföra n</w:t>
      </w:r>
      <w:r w:rsidR="00E40A1B" w:rsidRPr="00384AA1">
        <w:rPr>
          <w:rFonts w:asciiTheme="minorHAnsi" w:hAnsiTheme="minorHAnsi"/>
        </w:rPr>
        <w:t>ärmare samarbete med forskningsinstitut enligt Fraunh</w:t>
      </w:r>
      <w:r w:rsidR="008605B7">
        <w:rPr>
          <w:rFonts w:asciiTheme="minorHAnsi" w:hAnsiTheme="minorHAnsi"/>
        </w:rPr>
        <w:t xml:space="preserve">ofermodellen </w:t>
      </w:r>
      <w:r w:rsidR="008605B7" w:rsidRPr="008605B7">
        <w:rPr>
          <w:rFonts w:asciiTheme="minorHAnsi" w:hAnsiTheme="minorHAnsi"/>
          <w:b/>
        </w:rPr>
        <w:t>(avtal undertecknat)</w:t>
      </w:r>
    </w:p>
    <w:p w:rsidR="005C6F26" w:rsidRDefault="005C6F26" w:rsidP="005C581E">
      <w:pPr>
        <w:rPr>
          <w:b/>
        </w:rPr>
      </w:pPr>
    </w:p>
    <w:p w:rsidR="005C581E" w:rsidRPr="005C581E" w:rsidRDefault="005C581E" w:rsidP="005C581E">
      <w:pPr>
        <w:rPr>
          <w:b/>
        </w:rPr>
      </w:pPr>
      <w:r w:rsidRPr="005C581E">
        <w:rPr>
          <w:b/>
        </w:rPr>
        <w:t>Internationalisering</w:t>
      </w:r>
    </w:p>
    <w:p w:rsidR="005C581E" w:rsidRPr="00384AA1" w:rsidRDefault="005C581E" w:rsidP="00D47ECD">
      <w:pPr>
        <w:pStyle w:val="Liststycke"/>
        <w:numPr>
          <w:ilvl w:val="0"/>
          <w:numId w:val="15"/>
        </w:numPr>
        <w:rPr>
          <w:rFonts w:asciiTheme="minorHAnsi" w:hAnsiTheme="minorHAnsi"/>
        </w:rPr>
      </w:pPr>
      <w:r w:rsidRPr="00384AA1">
        <w:rPr>
          <w:rFonts w:asciiTheme="minorHAnsi" w:hAnsiTheme="minorHAnsi"/>
        </w:rPr>
        <w:t xml:space="preserve">Utökad satsning på rekrytering av internationella studenter </w:t>
      </w:r>
      <w:r w:rsidR="00D62B9B" w:rsidRPr="00384AA1">
        <w:rPr>
          <w:rFonts w:asciiTheme="minorHAnsi" w:hAnsiTheme="minorHAnsi"/>
          <w:b/>
        </w:rPr>
        <w:t>(pågår)</w:t>
      </w:r>
    </w:p>
    <w:p w:rsidR="005C581E" w:rsidRPr="00384AA1" w:rsidRDefault="005C581E" w:rsidP="00D47ECD">
      <w:pPr>
        <w:pStyle w:val="Liststycke"/>
        <w:numPr>
          <w:ilvl w:val="0"/>
          <w:numId w:val="15"/>
        </w:numPr>
        <w:rPr>
          <w:rFonts w:asciiTheme="minorHAnsi" w:hAnsiTheme="minorHAnsi"/>
        </w:rPr>
      </w:pPr>
      <w:r w:rsidRPr="00384AA1">
        <w:rPr>
          <w:rFonts w:asciiTheme="minorHAnsi" w:hAnsiTheme="minorHAnsi"/>
        </w:rPr>
        <w:t xml:space="preserve">Utökat fokus vid internationell rekrytering av lärare och forskare </w:t>
      </w:r>
      <w:r w:rsidR="00D62B9B" w:rsidRPr="00384AA1">
        <w:rPr>
          <w:rFonts w:asciiTheme="minorHAnsi" w:hAnsiTheme="minorHAnsi"/>
          <w:b/>
        </w:rPr>
        <w:t>(pågår)</w:t>
      </w:r>
    </w:p>
    <w:p w:rsidR="005C581E" w:rsidRPr="00384AA1" w:rsidRDefault="005C581E" w:rsidP="00D47ECD">
      <w:pPr>
        <w:pStyle w:val="Liststycke"/>
        <w:numPr>
          <w:ilvl w:val="0"/>
          <w:numId w:val="15"/>
        </w:numPr>
        <w:rPr>
          <w:rFonts w:asciiTheme="minorHAnsi" w:hAnsiTheme="minorHAnsi"/>
        </w:rPr>
      </w:pPr>
      <w:r w:rsidRPr="00384AA1">
        <w:rPr>
          <w:rFonts w:asciiTheme="minorHAnsi" w:hAnsiTheme="minorHAnsi"/>
        </w:rPr>
        <w:t xml:space="preserve">Prioritera samarbeten med högrankade universitet </w:t>
      </w:r>
      <w:r w:rsidR="00D62B9B" w:rsidRPr="00384AA1">
        <w:rPr>
          <w:rFonts w:asciiTheme="minorHAnsi" w:hAnsiTheme="minorHAnsi"/>
          <w:b/>
        </w:rPr>
        <w:t>(pågår)</w:t>
      </w:r>
    </w:p>
    <w:p w:rsidR="005C581E" w:rsidRPr="00384AA1" w:rsidRDefault="005C581E" w:rsidP="00D47ECD">
      <w:pPr>
        <w:pStyle w:val="Liststycke"/>
        <w:numPr>
          <w:ilvl w:val="0"/>
          <w:numId w:val="15"/>
        </w:numPr>
        <w:rPr>
          <w:rFonts w:asciiTheme="minorHAnsi" w:hAnsiTheme="minorHAnsi"/>
        </w:rPr>
      </w:pPr>
      <w:r w:rsidRPr="00384AA1">
        <w:rPr>
          <w:rFonts w:asciiTheme="minorHAnsi" w:hAnsiTheme="minorHAnsi"/>
        </w:rPr>
        <w:t>Utnyttja i högre grad än nu befintliga nätverk som Deans Forum, CLUSTER, CESAER för att skapa kontakter och utbyten mellan olika forskningsmiljöer som stimulerar till samarbete och ökad synlighet</w:t>
      </w:r>
    </w:p>
    <w:p w:rsidR="005C581E" w:rsidRPr="00384AA1" w:rsidRDefault="005C581E" w:rsidP="00D47ECD">
      <w:pPr>
        <w:pStyle w:val="Liststycke"/>
        <w:numPr>
          <w:ilvl w:val="0"/>
          <w:numId w:val="15"/>
        </w:numPr>
        <w:rPr>
          <w:rFonts w:asciiTheme="minorHAnsi" w:hAnsiTheme="minorHAnsi"/>
        </w:rPr>
      </w:pPr>
      <w:r w:rsidRPr="00384AA1">
        <w:rPr>
          <w:rFonts w:asciiTheme="minorHAnsi" w:hAnsiTheme="minorHAnsi"/>
        </w:rPr>
        <w:t xml:space="preserve">Medlemskap i framstående nätverk stärker lärosätets internationella prestige och rykte </w:t>
      </w:r>
      <w:r w:rsidRPr="002269E5">
        <w:rPr>
          <w:rFonts w:asciiTheme="minorHAnsi" w:hAnsiTheme="minorHAnsi"/>
          <w:b/>
        </w:rPr>
        <w:t>(pågår</w:t>
      </w:r>
      <w:r w:rsidR="002269E5" w:rsidRPr="002269E5">
        <w:rPr>
          <w:rFonts w:asciiTheme="minorHAnsi" w:hAnsiTheme="minorHAnsi"/>
          <w:b/>
        </w:rPr>
        <w:t>)</w:t>
      </w:r>
    </w:p>
    <w:p w:rsidR="005C581E" w:rsidRPr="00A37378" w:rsidRDefault="005C581E" w:rsidP="00A37378">
      <w:pPr>
        <w:rPr>
          <w:b/>
        </w:rPr>
      </w:pPr>
      <w:r w:rsidRPr="00A37378">
        <w:rPr>
          <w:b/>
        </w:rPr>
        <w:t>Innovation och samverkan</w:t>
      </w:r>
    </w:p>
    <w:p w:rsidR="005C581E" w:rsidRPr="00384AA1" w:rsidRDefault="005C581E" w:rsidP="00D47ECD">
      <w:pPr>
        <w:pStyle w:val="Liststycke"/>
        <w:numPr>
          <w:ilvl w:val="0"/>
          <w:numId w:val="15"/>
        </w:numPr>
        <w:rPr>
          <w:rFonts w:asciiTheme="minorHAnsi" w:hAnsiTheme="minorHAnsi"/>
        </w:rPr>
      </w:pPr>
      <w:r w:rsidRPr="00384AA1">
        <w:rPr>
          <w:rFonts w:asciiTheme="minorHAnsi" w:hAnsiTheme="minorHAnsi"/>
        </w:rPr>
        <w:t xml:space="preserve">Säkerställa mer resurser från industrin/ näringslivet. Ett utökat antal excellenta adjungerade professorer kan stärka verksamheten med nya perspektiv, skriva publikationer, projektansökningar och bidra med extern forskningsfinansiering samt med resurser från industrin </w:t>
      </w:r>
      <w:r w:rsidR="00D62B9B" w:rsidRPr="00384AA1">
        <w:rPr>
          <w:rFonts w:asciiTheme="minorHAnsi" w:hAnsiTheme="minorHAnsi"/>
          <w:b/>
        </w:rPr>
        <w:t>(pågår)</w:t>
      </w:r>
      <w:r w:rsidRPr="00384AA1">
        <w:rPr>
          <w:rFonts w:asciiTheme="minorHAnsi" w:hAnsiTheme="minorHAnsi"/>
        </w:rPr>
        <w:t xml:space="preserve"> </w:t>
      </w:r>
    </w:p>
    <w:p w:rsidR="005C581E" w:rsidRPr="00384AA1" w:rsidRDefault="005C581E" w:rsidP="00D47ECD">
      <w:pPr>
        <w:pStyle w:val="Liststycke"/>
        <w:numPr>
          <w:ilvl w:val="0"/>
          <w:numId w:val="15"/>
        </w:numPr>
        <w:rPr>
          <w:rFonts w:asciiTheme="minorHAnsi" w:hAnsiTheme="minorHAnsi"/>
        </w:rPr>
      </w:pPr>
      <w:r w:rsidRPr="00384AA1">
        <w:rPr>
          <w:rFonts w:asciiTheme="minorHAnsi" w:hAnsiTheme="minorHAnsi"/>
        </w:rPr>
        <w:t>Utökat samarbete och sampublicering med industrin, utvidgat fokus på det entreprenöriella universitetet</w:t>
      </w:r>
    </w:p>
    <w:p w:rsidR="00D61BAA" w:rsidRDefault="00D61BAA" w:rsidP="005C581E">
      <w:pPr>
        <w:rPr>
          <w:b/>
        </w:rPr>
      </w:pPr>
    </w:p>
    <w:p w:rsidR="00E816C0" w:rsidRPr="00E816C0" w:rsidRDefault="005C581E" w:rsidP="00E816C0">
      <w:pPr>
        <w:rPr>
          <w:b/>
        </w:rPr>
      </w:pPr>
      <w:r w:rsidRPr="005C581E">
        <w:rPr>
          <w:b/>
        </w:rPr>
        <w:t>Synlighet och varumärkesförstärkning</w:t>
      </w:r>
    </w:p>
    <w:p w:rsidR="006447E6" w:rsidRPr="00E816C0" w:rsidRDefault="009E4062" w:rsidP="00E816C0">
      <w:pPr>
        <w:pStyle w:val="Liststycke"/>
        <w:numPr>
          <w:ilvl w:val="0"/>
          <w:numId w:val="23"/>
        </w:numPr>
        <w:rPr>
          <w:rFonts w:asciiTheme="minorHAnsi" w:hAnsiTheme="minorHAnsi"/>
        </w:rPr>
      </w:pPr>
      <w:r w:rsidRPr="00E816C0">
        <w:rPr>
          <w:rFonts w:asciiTheme="minorHAnsi" w:hAnsiTheme="minorHAnsi"/>
        </w:rPr>
        <w:t xml:space="preserve">Ge internutbildningar mot chefer, fakultet och forskare etc. beträffande vikten av kommunikation, profilering av KTH:s varumärke, altmetri, bibliometri, rankning och få in ökad medvetenhet om varumärke och profilering </w:t>
      </w:r>
      <w:r w:rsidR="002269E5">
        <w:rPr>
          <w:rFonts w:asciiTheme="minorHAnsi" w:hAnsiTheme="minorHAnsi"/>
        </w:rPr>
        <w:t>i det interna kvalitetsarbetet</w:t>
      </w:r>
    </w:p>
    <w:p w:rsidR="006447E6" w:rsidRPr="00E816C0" w:rsidRDefault="009E4062" w:rsidP="00E816C0">
      <w:pPr>
        <w:pStyle w:val="Liststycke"/>
        <w:numPr>
          <w:ilvl w:val="0"/>
          <w:numId w:val="23"/>
        </w:numPr>
      </w:pPr>
      <w:r w:rsidRPr="002269E5">
        <w:rPr>
          <w:rFonts w:asciiTheme="minorHAnsi" w:hAnsiTheme="minorHAnsi"/>
        </w:rPr>
        <w:t>Stärka medvetenheten</w:t>
      </w:r>
      <w:r w:rsidRPr="00E816C0">
        <w:rPr>
          <w:rFonts w:asciiTheme="minorHAnsi" w:hAnsiTheme="minorHAnsi"/>
        </w:rPr>
        <w:t xml:space="preserve"> om vikten av att få ut sina forskningsresultat till sina kollegor inom fältet samt till en bredare publik. Exempelvis vore det rekommenderat att ta fram ett underlag innehållande förslag och riktlinjer till hur man skall gå tillväga för att sprida resultatet av sin forskn</w:t>
      </w:r>
      <w:r w:rsidR="002269E5">
        <w:rPr>
          <w:rFonts w:asciiTheme="minorHAnsi" w:hAnsiTheme="minorHAnsi"/>
        </w:rPr>
        <w:t>ing både inom och utom akademin</w:t>
      </w:r>
      <w:r w:rsidRPr="00E816C0">
        <w:rPr>
          <w:rFonts w:asciiTheme="minorHAnsi" w:hAnsiTheme="minorHAnsi"/>
        </w:rPr>
        <w:t xml:space="preserve"> </w:t>
      </w:r>
      <w:r w:rsidRPr="00E816C0">
        <w:rPr>
          <w:rFonts w:asciiTheme="minorHAnsi" w:hAnsiTheme="minorHAnsi"/>
          <w:b/>
          <w:bCs/>
        </w:rPr>
        <w:t>(pågår)</w:t>
      </w:r>
    </w:p>
    <w:p w:rsidR="006447E6" w:rsidRPr="00E816C0" w:rsidRDefault="009E4062" w:rsidP="00E816C0">
      <w:pPr>
        <w:pStyle w:val="Liststycke"/>
        <w:numPr>
          <w:ilvl w:val="0"/>
          <w:numId w:val="24"/>
        </w:numPr>
        <w:rPr>
          <w:rFonts w:asciiTheme="minorHAnsi" w:hAnsiTheme="minorHAnsi"/>
        </w:rPr>
      </w:pPr>
      <w:r w:rsidRPr="00E816C0">
        <w:rPr>
          <w:rFonts w:asciiTheme="minorHAnsi" w:hAnsiTheme="minorHAnsi"/>
        </w:rPr>
        <w:t xml:space="preserve">I alumner finns en stor potential för ambassadörskap, vilket kan bidra till att stärka KTH:s rykte. Alumnerna kan själva vara de som deltar i ryktesmätningar eller ha kopplingar till individer som gör det. En förutsättning för detta är att </w:t>
      </w:r>
      <w:r w:rsidR="002269E5">
        <w:rPr>
          <w:rFonts w:asciiTheme="minorHAnsi" w:hAnsiTheme="minorHAnsi"/>
        </w:rPr>
        <w:t>KTH ger mycket bra utbildningar</w:t>
      </w:r>
      <w:r w:rsidRPr="00E816C0">
        <w:rPr>
          <w:rFonts w:asciiTheme="minorHAnsi" w:hAnsiTheme="minorHAnsi"/>
        </w:rPr>
        <w:t xml:space="preserve"> </w:t>
      </w:r>
      <w:r w:rsidRPr="002269E5">
        <w:rPr>
          <w:rFonts w:asciiTheme="minorHAnsi" w:hAnsiTheme="minorHAnsi"/>
          <w:b/>
        </w:rPr>
        <w:t>(pågår</w:t>
      </w:r>
      <w:r w:rsidRPr="00FC10C6">
        <w:rPr>
          <w:rFonts w:asciiTheme="minorHAnsi" w:hAnsiTheme="minorHAnsi"/>
          <w:b/>
        </w:rPr>
        <w:t>)</w:t>
      </w:r>
    </w:p>
    <w:p w:rsidR="006447E6" w:rsidRPr="00E816C0" w:rsidRDefault="009E4062" w:rsidP="00E816C0">
      <w:pPr>
        <w:pStyle w:val="Liststycke"/>
        <w:numPr>
          <w:ilvl w:val="0"/>
          <w:numId w:val="24"/>
        </w:numPr>
        <w:rPr>
          <w:rFonts w:asciiTheme="minorHAnsi" w:hAnsiTheme="minorHAnsi"/>
        </w:rPr>
      </w:pPr>
      <w:r w:rsidRPr="00E816C0">
        <w:rPr>
          <w:rFonts w:asciiTheme="minorHAnsi" w:hAnsiTheme="minorHAnsi"/>
        </w:rPr>
        <w:t>Tidigare anställda inom fakultet, som fortsätter forskarkarriär på annat universitet, kan också ha en potential för ambassadörskap. De tidigare anställda kan själva vara de som deltar i ryktesmätningar eller ha kopplingar till individer som gör det. En förutsättning för detta är att KTH är en bra arbetsplats och forskningsinstitution.</w:t>
      </w:r>
    </w:p>
    <w:p w:rsidR="00E816C0" w:rsidRDefault="009E4062" w:rsidP="00E816C0">
      <w:pPr>
        <w:pStyle w:val="Liststycke"/>
        <w:numPr>
          <w:ilvl w:val="0"/>
          <w:numId w:val="24"/>
        </w:numPr>
        <w:rPr>
          <w:rFonts w:asciiTheme="minorHAnsi" w:hAnsiTheme="minorHAnsi"/>
        </w:rPr>
      </w:pPr>
      <w:r w:rsidRPr="00E816C0">
        <w:rPr>
          <w:rFonts w:asciiTheme="minorHAnsi" w:hAnsiTheme="minorHAnsi"/>
        </w:rPr>
        <w:lastRenderedPageBreak/>
        <w:t>Genom universitetspartnerskap finns en befintlig relation som kan bidra till a</w:t>
      </w:r>
      <w:r w:rsidR="002269E5">
        <w:rPr>
          <w:rFonts w:asciiTheme="minorHAnsi" w:hAnsiTheme="minorHAnsi"/>
        </w:rPr>
        <w:t>tt stärka KTH:s rykte</w:t>
      </w:r>
      <w:r w:rsidRPr="00E816C0">
        <w:rPr>
          <w:rFonts w:asciiTheme="minorHAnsi" w:hAnsiTheme="minorHAnsi"/>
        </w:rPr>
        <w:t xml:space="preserve"> </w:t>
      </w:r>
      <w:r w:rsidRPr="002269E5">
        <w:rPr>
          <w:rFonts w:asciiTheme="minorHAnsi" w:hAnsiTheme="minorHAnsi"/>
          <w:b/>
        </w:rPr>
        <w:t>(pågår)</w:t>
      </w:r>
    </w:p>
    <w:p w:rsidR="00E816C0" w:rsidRPr="00E816C0" w:rsidRDefault="009E4062" w:rsidP="00E816C0">
      <w:pPr>
        <w:pStyle w:val="Liststycke"/>
        <w:numPr>
          <w:ilvl w:val="0"/>
          <w:numId w:val="24"/>
        </w:numPr>
        <w:rPr>
          <w:rFonts w:asciiTheme="minorHAnsi" w:hAnsiTheme="minorHAnsi"/>
        </w:rPr>
      </w:pPr>
      <w:r w:rsidRPr="00E816C0">
        <w:rPr>
          <w:rFonts w:asciiTheme="minorHAnsi" w:hAnsiTheme="minorHAnsi"/>
        </w:rPr>
        <w:t>Undersöka effekt av (ROI) annonseri</w:t>
      </w:r>
      <w:r w:rsidR="002269E5">
        <w:rPr>
          <w:rFonts w:asciiTheme="minorHAnsi" w:hAnsiTheme="minorHAnsi"/>
        </w:rPr>
        <w:t>ng i förhållande till rank</w:t>
      </w:r>
      <w:r w:rsidR="00B01730">
        <w:rPr>
          <w:rFonts w:asciiTheme="minorHAnsi" w:hAnsiTheme="minorHAnsi"/>
        </w:rPr>
        <w:t>n</w:t>
      </w:r>
      <w:r w:rsidR="002269E5">
        <w:rPr>
          <w:rFonts w:asciiTheme="minorHAnsi" w:hAnsiTheme="minorHAnsi"/>
        </w:rPr>
        <w:t>ingar</w:t>
      </w:r>
    </w:p>
    <w:p w:rsidR="006447E6" w:rsidRPr="00E816C0" w:rsidRDefault="009E4062" w:rsidP="00E816C0">
      <w:pPr>
        <w:pStyle w:val="Liststycke"/>
        <w:numPr>
          <w:ilvl w:val="0"/>
          <w:numId w:val="24"/>
        </w:numPr>
        <w:rPr>
          <w:rFonts w:asciiTheme="minorHAnsi" w:hAnsiTheme="minorHAnsi"/>
        </w:rPr>
      </w:pPr>
      <w:r w:rsidRPr="00E816C0">
        <w:rPr>
          <w:rFonts w:asciiTheme="minorHAnsi" w:hAnsiTheme="minorHAnsi"/>
        </w:rPr>
        <w:t>Förtydliga utbildningssatsningar och resultat samt målgrupp i förhållande till rank</w:t>
      </w:r>
      <w:r w:rsidR="00B01730">
        <w:rPr>
          <w:rFonts w:asciiTheme="minorHAnsi" w:hAnsiTheme="minorHAnsi"/>
        </w:rPr>
        <w:t>n</w:t>
      </w:r>
      <w:r w:rsidRPr="00E816C0">
        <w:rPr>
          <w:rFonts w:asciiTheme="minorHAnsi" w:hAnsiTheme="minorHAnsi"/>
        </w:rPr>
        <w:t>ing för dessa.</w:t>
      </w:r>
    </w:p>
    <w:p w:rsidR="00E816C0" w:rsidRPr="00E816C0" w:rsidRDefault="00E816C0" w:rsidP="00E816C0"/>
    <w:p w:rsidR="005C581E" w:rsidRPr="00E816C0" w:rsidRDefault="005C581E" w:rsidP="00E816C0">
      <w:pPr>
        <w:rPr>
          <w:b/>
        </w:rPr>
      </w:pPr>
      <w:r w:rsidRPr="00E816C0">
        <w:rPr>
          <w:b/>
        </w:rPr>
        <w:t>Övrigt</w:t>
      </w:r>
    </w:p>
    <w:p w:rsidR="005C581E" w:rsidRPr="00384AA1" w:rsidRDefault="005C581E" w:rsidP="00D47ECD">
      <w:pPr>
        <w:pStyle w:val="Liststycke"/>
        <w:numPr>
          <w:ilvl w:val="0"/>
          <w:numId w:val="16"/>
        </w:numPr>
        <w:rPr>
          <w:rFonts w:asciiTheme="minorHAnsi" w:hAnsiTheme="minorHAnsi"/>
        </w:rPr>
      </w:pPr>
      <w:r w:rsidRPr="00384AA1">
        <w:rPr>
          <w:rFonts w:asciiTheme="minorHAnsi" w:hAnsiTheme="minorHAnsi"/>
        </w:rPr>
        <w:t>Ta kontakt med utbildningsdepartement och regering med syfte att diskutera behovet av utökade resurser för att kunna bibehålla eller avancera i rankningar</w:t>
      </w:r>
    </w:p>
    <w:p w:rsidR="005C581E" w:rsidRDefault="005C581E" w:rsidP="00D47ECD">
      <w:pPr>
        <w:pStyle w:val="Liststycke"/>
        <w:numPr>
          <w:ilvl w:val="0"/>
          <w:numId w:val="16"/>
        </w:numPr>
      </w:pPr>
      <w:r w:rsidRPr="00384AA1">
        <w:rPr>
          <w:rFonts w:asciiTheme="minorHAnsi" w:hAnsiTheme="minorHAnsi"/>
        </w:rPr>
        <w:t xml:space="preserve">KTH fortsätter med att försöka påverka rankningleverantörerna att förbättra mätmetoderna med syfte att stärka KTH:s position. Ett sådant arbete bedrivs i CESAER:s regi </w:t>
      </w:r>
      <w:r w:rsidR="00D62B9B" w:rsidRPr="002269E5">
        <w:rPr>
          <w:rFonts w:asciiTheme="minorHAnsi" w:hAnsiTheme="minorHAnsi"/>
          <w:b/>
        </w:rPr>
        <w:t>(pågår)</w:t>
      </w:r>
    </w:p>
    <w:p w:rsidR="005C581E" w:rsidRDefault="005C581E"/>
    <w:p w:rsidR="005C581E" w:rsidRPr="00CA7A88" w:rsidRDefault="005C581E" w:rsidP="004B5BF3"/>
    <w:sectPr w:rsidR="005C581E" w:rsidRPr="00CA7A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9B8" w:rsidRDefault="009F19B8" w:rsidP="00AB37AC">
      <w:r>
        <w:separator/>
      </w:r>
    </w:p>
  </w:endnote>
  <w:endnote w:type="continuationSeparator" w:id="0">
    <w:p w:rsidR="009F19B8" w:rsidRDefault="009F19B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098577"/>
      <w:docPartObj>
        <w:docPartGallery w:val="Page Numbers (Bottom of Page)"/>
        <w:docPartUnique/>
      </w:docPartObj>
    </w:sdtPr>
    <w:sdtEndPr/>
    <w:sdtContent>
      <w:p w:rsidR="00F9021C" w:rsidRDefault="00F9021C">
        <w:pPr>
          <w:pStyle w:val="Sidfot"/>
          <w:jc w:val="center"/>
        </w:pPr>
        <w:r>
          <w:fldChar w:fldCharType="begin"/>
        </w:r>
        <w:r>
          <w:instrText>PAGE   \* MERGEFORMAT</w:instrText>
        </w:r>
        <w:r>
          <w:fldChar w:fldCharType="separate"/>
        </w:r>
        <w:r w:rsidR="00837BB1">
          <w:rPr>
            <w:noProof/>
          </w:rPr>
          <w:t>4</w:t>
        </w:r>
        <w:r>
          <w:fldChar w:fldCharType="end"/>
        </w:r>
      </w:p>
    </w:sdtContent>
  </w:sdt>
  <w:p w:rsidR="00F9021C" w:rsidRDefault="00F902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9B8" w:rsidRDefault="009F19B8" w:rsidP="00AB37AC">
      <w:r>
        <w:separator/>
      </w:r>
    </w:p>
  </w:footnote>
  <w:footnote w:type="continuationSeparator" w:id="0">
    <w:p w:rsidR="009F19B8" w:rsidRDefault="009F19B8" w:rsidP="00AB37AC">
      <w:r>
        <w:continuationSeparator/>
      </w:r>
    </w:p>
  </w:footnote>
  <w:footnote w:id="1">
    <w:p w:rsidR="00F9021C" w:rsidRDefault="00F9021C">
      <w:pPr>
        <w:pStyle w:val="Fotnotstext"/>
      </w:pPr>
      <w:r>
        <w:rPr>
          <w:rStyle w:val="Fotnotsreferens"/>
        </w:rPr>
        <w:footnoteRef/>
      </w:r>
      <w:r>
        <w:t xml:space="preserve"> Enligt Peter Gudmundsson var detta den främsta anledningen till KTH:s relativt låga citeringsvärden.</w:t>
      </w:r>
    </w:p>
  </w:footnote>
  <w:footnote w:id="2">
    <w:p w:rsidR="00F9021C" w:rsidRPr="00545EC0" w:rsidRDefault="00F9021C" w:rsidP="00545EC0">
      <w:pPr>
        <w:pStyle w:val="Fotnotstext"/>
      </w:pPr>
      <w:r>
        <w:rPr>
          <w:rStyle w:val="Fotnotsreferens"/>
        </w:rPr>
        <w:footnoteRef/>
      </w:r>
      <w:r>
        <w:t xml:space="preserve"> </w:t>
      </w:r>
      <w:r w:rsidRPr="00545EC0">
        <w:t>De som ger rankningar föredrar att hämta data själva framför att inhämta uppgifter från lärosätena, då det gärna blir utrymme för olika tolkningar och manipulering av data. Hämtar leverantören data själv blir det lika för alla.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129C1ABE"/>
    <w:multiLevelType w:val="hybridMultilevel"/>
    <w:tmpl w:val="226C0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89627A"/>
    <w:multiLevelType w:val="hybridMultilevel"/>
    <w:tmpl w:val="739EF91C"/>
    <w:lvl w:ilvl="0" w:tplc="6CB85EC8">
      <w:start w:val="1"/>
      <w:numFmt w:val="bullet"/>
      <w:lvlText w:val="•"/>
      <w:lvlJc w:val="left"/>
      <w:pPr>
        <w:tabs>
          <w:tab w:val="num" w:pos="720"/>
        </w:tabs>
        <w:ind w:left="720" w:hanging="360"/>
      </w:pPr>
      <w:rPr>
        <w:rFonts w:ascii="Arial" w:hAnsi="Arial" w:hint="default"/>
      </w:rPr>
    </w:lvl>
    <w:lvl w:ilvl="1" w:tplc="9EEEA478" w:tentative="1">
      <w:start w:val="1"/>
      <w:numFmt w:val="bullet"/>
      <w:lvlText w:val="•"/>
      <w:lvlJc w:val="left"/>
      <w:pPr>
        <w:tabs>
          <w:tab w:val="num" w:pos="1440"/>
        </w:tabs>
        <w:ind w:left="1440" w:hanging="360"/>
      </w:pPr>
      <w:rPr>
        <w:rFonts w:ascii="Arial" w:hAnsi="Arial" w:hint="default"/>
      </w:rPr>
    </w:lvl>
    <w:lvl w:ilvl="2" w:tplc="1464A6AA" w:tentative="1">
      <w:start w:val="1"/>
      <w:numFmt w:val="bullet"/>
      <w:lvlText w:val="•"/>
      <w:lvlJc w:val="left"/>
      <w:pPr>
        <w:tabs>
          <w:tab w:val="num" w:pos="2160"/>
        </w:tabs>
        <w:ind w:left="2160" w:hanging="360"/>
      </w:pPr>
      <w:rPr>
        <w:rFonts w:ascii="Arial" w:hAnsi="Arial" w:hint="default"/>
      </w:rPr>
    </w:lvl>
    <w:lvl w:ilvl="3" w:tplc="6D3E57EC" w:tentative="1">
      <w:start w:val="1"/>
      <w:numFmt w:val="bullet"/>
      <w:lvlText w:val="•"/>
      <w:lvlJc w:val="left"/>
      <w:pPr>
        <w:tabs>
          <w:tab w:val="num" w:pos="2880"/>
        </w:tabs>
        <w:ind w:left="2880" w:hanging="360"/>
      </w:pPr>
      <w:rPr>
        <w:rFonts w:ascii="Arial" w:hAnsi="Arial" w:hint="default"/>
      </w:rPr>
    </w:lvl>
    <w:lvl w:ilvl="4" w:tplc="943077F6" w:tentative="1">
      <w:start w:val="1"/>
      <w:numFmt w:val="bullet"/>
      <w:lvlText w:val="•"/>
      <w:lvlJc w:val="left"/>
      <w:pPr>
        <w:tabs>
          <w:tab w:val="num" w:pos="3600"/>
        </w:tabs>
        <w:ind w:left="3600" w:hanging="360"/>
      </w:pPr>
      <w:rPr>
        <w:rFonts w:ascii="Arial" w:hAnsi="Arial" w:hint="default"/>
      </w:rPr>
    </w:lvl>
    <w:lvl w:ilvl="5" w:tplc="95ECF3AE" w:tentative="1">
      <w:start w:val="1"/>
      <w:numFmt w:val="bullet"/>
      <w:lvlText w:val="•"/>
      <w:lvlJc w:val="left"/>
      <w:pPr>
        <w:tabs>
          <w:tab w:val="num" w:pos="4320"/>
        </w:tabs>
        <w:ind w:left="4320" w:hanging="360"/>
      </w:pPr>
      <w:rPr>
        <w:rFonts w:ascii="Arial" w:hAnsi="Arial" w:hint="default"/>
      </w:rPr>
    </w:lvl>
    <w:lvl w:ilvl="6" w:tplc="F97A6D74" w:tentative="1">
      <w:start w:val="1"/>
      <w:numFmt w:val="bullet"/>
      <w:lvlText w:val="•"/>
      <w:lvlJc w:val="left"/>
      <w:pPr>
        <w:tabs>
          <w:tab w:val="num" w:pos="5040"/>
        </w:tabs>
        <w:ind w:left="5040" w:hanging="360"/>
      </w:pPr>
      <w:rPr>
        <w:rFonts w:ascii="Arial" w:hAnsi="Arial" w:hint="default"/>
      </w:rPr>
    </w:lvl>
    <w:lvl w:ilvl="7" w:tplc="8724D6CE" w:tentative="1">
      <w:start w:val="1"/>
      <w:numFmt w:val="bullet"/>
      <w:lvlText w:val="•"/>
      <w:lvlJc w:val="left"/>
      <w:pPr>
        <w:tabs>
          <w:tab w:val="num" w:pos="5760"/>
        </w:tabs>
        <w:ind w:left="5760" w:hanging="360"/>
      </w:pPr>
      <w:rPr>
        <w:rFonts w:ascii="Arial" w:hAnsi="Arial" w:hint="default"/>
      </w:rPr>
    </w:lvl>
    <w:lvl w:ilvl="8" w:tplc="556223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E629E8"/>
    <w:multiLevelType w:val="hybridMultilevel"/>
    <w:tmpl w:val="E92CD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DE4DEE"/>
    <w:multiLevelType w:val="hybridMultilevel"/>
    <w:tmpl w:val="DD522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453BE9"/>
    <w:multiLevelType w:val="hybridMultilevel"/>
    <w:tmpl w:val="94561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BF309E"/>
    <w:multiLevelType w:val="hybridMultilevel"/>
    <w:tmpl w:val="1E0E6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3AF46201"/>
    <w:multiLevelType w:val="hybridMultilevel"/>
    <w:tmpl w:val="C7DA9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EAC1919"/>
    <w:multiLevelType w:val="hybridMultilevel"/>
    <w:tmpl w:val="0548E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2C40B2"/>
    <w:multiLevelType w:val="hybridMultilevel"/>
    <w:tmpl w:val="7FC89428"/>
    <w:lvl w:ilvl="0" w:tplc="4B86BACC">
      <w:start w:val="1"/>
      <w:numFmt w:val="bullet"/>
      <w:lvlText w:val="•"/>
      <w:lvlJc w:val="left"/>
      <w:pPr>
        <w:tabs>
          <w:tab w:val="num" w:pos="720"/>
        </w:tabs>
        <w:ind w:left="720" w:hanging="360"/>
      </w:pPr>
      <w:rPr>
        <w:rFonts w:ascii="Arial" w:hAnsi="Arial" w:hint="default"/>
      </w:rPr>
    </w:lvl>
    <w:lvl w:ilvl="1" w:tplc="A314B58C" w:tentative="1">
      <w:start w:val="1"/>
      <w:numFmt w:val="bullet"/>
      <w:lvlText w:val="•"/>
      <w:lvlJc w:val="left"/>
      <w:pPr>
        <w:tabs>
          <w:tab w:val="num" w:pos="1440"/>
        </w:tabs>
        <w:ind w:left="1440" w:hanging="360"/>
      </w:pPr>
      <w:rPr>
        <w:rFonts w:ascii="Arial" w:hAnsi="Arial" w:hint="default"/>
      </w:rPr>
    </w:lvl>
    <w:lvl w:ilvl="2" w:tplc="6D5603FE" w:tentative="1">
      <w:start w:val="1"/>
      <w:numFmt w:val="bullet"/>
      <w:lvlText w:val="•"/>
      <w:lvlJc w:val="left"/>
      <w:pPr>
        <w:tabs>
          <w:tab w:val="num" w:pos="2160"/>
        </w:tabs>
        <w:ind w:left="2160" w:hanging="360"/>
      </w:pPr>
      <w:rPr>
        <w:rFonts w:ascii="Arial" w:hAnsi="Arial" w:hint="default"/>
      </w:rPr>
    </w:lvl>
    <w:lvl w:ilvl="3" w:tplc="8C06235A" w:tentative="1">
      <w:start w:val="1"/>
      <w:numFmt w:val="bullet"/>
      <w:lvlText w:val="•"/>
      <w:lvlJc w:val="left"/>
      <w:pPr>
        <w:tabs>
          <w:tab w:val="num" w:pos="2880"/>
        </w:tabs>
        <w:ind w:left="2880" w:hanging="360"/>
      </w:pPr>
      <w:rPr>
        <w:rFonts w:ascii="Arial" w:hAnsi="Arial" w:hint="default"/>
      </w:rPr>
    </w:lvl>
    <w:lvl w:ilvl="4" w:tplc="7B20FF68" w:tentative="1">
      <w:start w:val="1"/>
      <w:numFmt w:val="bullet"/>
      <w:lvlText w:val="•"/>
      <w:lvlJc w:val="left"/>
      <w:pPr>
        <w:tabs>
          <w:tab w:val="num" w:pos="3600"/>
        </w:tabs>
        <w:ind w:left="3600" w:hanging="360"/>
      </w:pPr>
      <w:rPr>
        <w:rFonts w:ascii="Arial" w:hAnsi="Arial" w:hint="default"/>
      </w:rPr>
    </w:lvl>
    <w:lvl w:ilvl="5" w:tplc="DEE6CDF2" w:tentative="1">
      <w:start w:val="1"/>
      <w:numFmt w:val="bullet"/>
      <w:lvlText w:val="•"/>
      <w:lvlJc w:val="left"/>
      <w:pPr>
        <w:tabs>
          <w:tab w:val="num" w:pos="4320"/>
        </w:tabs>
        <w:ind w:left="4320" w:hanging="360"/>
      </w:pPr>
      <w:rPr>
        <w:rFonts w:ascii="Arial" w:hAnsi="Arial" w:hint="default"/>
      </w:rPr>
    </w:lvl>
    <w:lvl w:ilvl="6" w:tplc="4C82A158" w:tentative="1">
      <w:start w:val="1"/>
      <w:numFmt w:val="bullet"/>
      <w:lvlText w:val="•"/>
      <w:lvlJc w:val="left"/>
      <w:pPr>
        <w:tabs>
          <w:tab w:val="num" w:pos="5040"/>
        </w:tabs>
        <w:ind w:left="5040" w:hanging="360"/>
      </w:pPr>
      <w:rPr>
        <w:rFonts w:ascii="Arial" w:hAnsi="Arial" w:hint="default"/>
      </w:rPr>
    </w:lvl>
    <w:lvl w:ilvl="7" w:tplc="520A9D7E" w:tentative="1">
      <w:start w:val="1"/>
      <w:numFmt w:val="bullet"/>
      <w:lvlText w:val="•"/>
      <w:lvlJc w:val="left"/>
      <w:pPr>
        <w:tabs>
          <w:tab w:val="num" w:pos="5760"/>
        </w:tabs>
        <w:ind w:left="5760" w:hanging="360"/>
      </w:pPr>
      <w:rPr>
        <w:rFonts w:ascii="Arial" w:hAnsi="Arial" w:hint="default"/>
      </w:rPr>
    </w:lvl>
    <w:lvl w:ilvl="8" w:tplc="533204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421CC7"/>
    <w:multiLevelType w:val="hybridMultilevel"/>
    <w:tmpl w:val="808CE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CB111F"/>
    <w:multiLevelType w:val="hybridMultilevel"/>
    <w:tmpl w:val="1F9E3F82"/>
    <w:lvl w:ilvl="0" w:tplc="ED5C7480">
      <w:start w:val="1"/>
      <w:numFmt w:val="bullet"/>
      <w:lvlText w:val="•"/>
      <w:lvlJc w:val="left"/>
      <w:pPr>
        <w:tabs>
          <w:tab w:val="num" w:pos="720"/>
        </w:tabs>
        <w:ind w:left="720" w:hanging="360"/>
      </w:pPr>
      <w:rPr>
        <w:rFonts w:ascii="Arial" w:hAnsi="Arial" w:hint="default"/>
      </w:rPr>
    </w:lvl>
    <w:lvl w:ilvl="1" w:tplc="E6A86C36" w:tentative="1">
      <w:start w:val="1"/>
      <w:numFmt w:val="bullet"/>
      <w:lvlText w:val="•"/>
      <w:lvlJc w:val="left"/>
      <w:pPr>
        <w:tabs>
          <w:tab w:val="num" w:pos="1440"/>
        </w:tabs>
        <w:ind w:left="1440" w:hanging="360"/>
      </w:pPr>
      <w:rPr>
        <w:rFonts w:ascii="Arial" w:hAnsi="Arial" w:hint="default"/>
      </w:rPr>
    </w:lvl>
    <w:lvl w:ilvl="2" w:tplc="F03E184A" w:tentative="1">
      <w:start w:val="1"/>
      <w:numFmt w:val="bullet"/>
      <w:lvlText w:val="•"/>
      <w:lvlJc w:val="left"/>
      <w:pPr>
        <w:tabs>
          <w:tab w:val="num" w:pos="2160"/>
        </w:tabs>
        <w:ind w:left="2160" w:hanging="360"/>
      </w:pPr>
      <w:rPr>
        <w:rFonts w:ascii="Arial" w:hAnsi="Arial" w:hint="default"/>
      </w:rPr>
    </w:lvl>
    <w:lvl w:ilvl="3" w:tplc="2EBE90A2" w:tentative="1">
      <w:start w:val="1"/>
      <w:numFmt w:val="bullet"/>
      <w:lvlText w:val="•"/>
      <w:lvlJc w:val="left"/>
      <w:pPr>
        <w:tabs>
          <w:tab w:val="num" w:pos="2880"/>
        </w:tabs>
        <w:ind w:left="2880" w:hanging="360"/>
      </w:pPr>
      <w:rPr>
        <w:rFonts w:ascii="Arial" w:hAnsi="Arial" w:hint="default"/>
      </w:rPr>
    </w:lvl>
    <w:lvl w:ilvl="4" w:tplc="282CABD8" w:tentative="1">
      <w:start w:val="1"/>
      <w:numFmt w:val="bullet"/>
      <w:lvlText w:val="•"/>
      <w:lvlJc w:val="left"/>
      <w:pPr>
        <w:tabs>
          <w:tab w:val="num" w:pos="3600"/>
        </w:tabs>
        <w:ind w:left="3600" w:hanging="360"/>
      </w:pPr>
      <w:rPr>
        <w:rFonts w:ascii="Arial" w:hAnsi="Arial" w:hint="default"/>
      </w:rPr>
    </w:lvl>
    <w:lvl w:ilvl="5" w:tplc="EA36C368" w:tentative="1">
      <w:start w:val="1"/>
      <w:numFmt w:val="bullet"/>
      <w:lvlText w:val="•"/>
      <w:lvlJc w:val="left"/>
      <w:pPr>
        <w:tabs>
          <w:tab w:val="num" w:pos="4320"/>
        </w:tabs>
        <w:ind w:left="4320" w:hanging="360"/>
      </w:pPr>
      <w:rPr>
        <w:rFonts w:ascii="Arial" w:hAnsi="Arial" w:hint="default"/>
      </w:rPr>
    </w:lvl>
    <w:lvl w:ilvl="6" w:tplc="E7DA4ABE" w:tentative="1">
      <w:start w:val="1"/>
      <w:numFmt w:val="bullet"/>
      <w:lvlText w:val="•"/>
      <w:lvlJc w:val="left"/>
      <w:pPr>
        <w:tabs>
          <w:tab w:val="num" w:pos="5040"/>
        </w:tabs>
        <w:ind w:left="5040" w:hanging="360"/>
      </w:pPr>
      <w:rPr>
        <w:rFonts w:ascii="Arial" w:hAnsi="Arial" w:hint="default"/>
      </w:rPr>
    </w:lvl>
    <w:lvl w:ilvl="7" w:tplc="C56C35D6" w:tentative="1">
      <w:start w:val="1"/>
      <w:numFmt w:val="bullet"/>
      <w:lvlText w:val="•"/>
      <w:lvlJc w:val="left"/>
      <w:pPr>
        <w:tabs>
          <w:tab w:val="num" w:pos="5760"/>
        </w:tabs>
        <w:ind w:left="5760" w:hanging="360"/>
      </w:pPr>
      <w:rPr>
        <w:rFonts w:ascii="Arial" w:hAnsi="Arial" w:hint="default"/>
      </w:rPr>
    </w:lvl>
    <w:lvl w:ilvl="8" w:tplc="CBB6A2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856DEB"/>
    <w:multiLevelType w:val="hybridMultilevel"/>
    <w:tmpl w:val="3050B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3A04526"/>
    <w:multiLevelType w:val="hybridMultilevel"/>
    <w:tmpl w:val="152485C6"/>
    <w:lvl w:ilvl="0" w:tplc="887C5E76">
      <w:start w:val="1"/>
      <w:numFmt w:val="bullet"/>
      <w:lvlText w:val="•"/>
      <w:lvlJc w:val="left"/>
      <w:pPr>
        <w:tabs>
          <w:tab w:val="num" w:pos="720"/>
        </w:tabs>
        <w:ind w:left="720" w:hanging="360"/>
      </w:pPr>
      <w:rPr>
        <w:rFonts w:ascii="Arial" w:hAnsi="Arial" w:hint="default"/>
      </w:rPr>
    </w:lvl>
    <w:lvl w:ilvl="1" w:tplc="5D90F9F6" w:tentative="1">
      <w:start w:val="1"/>
      <w:numFmt w:val="bullet"/>
      <w:lvlText w:val="•"/>
      <w:lvlJc w:val="left"/>
      <w:pPr>
        <w:tabs>
          <w:tab w:val="num" w:pos="1440"/>
        </w:tabs>
        <w:ind w:left="1440" w:hanging="360"/>
      </w:pPr>
      <w:rPr>
        <w:rFonts w:ascii="Arial" w:hAnsi="Arial" w:hint="default"/>
      </w:rPr>
    </w:lvl>
    <w:lvl w:ilvl="2" w:tplc="E52C67A4" w:tentative="1">
      <w:start w:val="1"/>
      <w:numFmt w:val="bullet"/>
      <w:lvlText w:val="•"/>
      <w:lvlJc w:val="left"/>
      <w:pPr>
        <w:tabs>
          <w:tab w:val="num" w:pos="2160"/>
        </w:tabs>
        <w:ind w:left="2160" w:hanging="360"/>
      </w:pPr>
      <w:rPr>
        <w:rFonts w:ascii="Arial" w:hAnsi="Arial" w:hint="default"/>
      </w:rPr>
    </w:lvl>
    <w:lvl w:ilvl="3" w:tplc="59267A14" w:tentative="1">
      <w:start w:val="1"/>
      <w:numFmt w:val="bullet"/>
      <w:lvlText w:val="•"/>
      <w:lvlJc w:val="left"/>
      <w:pPr>
        <w:tabs>
          <w:tab w:val="num" w:pos="2880"/>
        </w:tabs>
        <w:ind w:left="2880" w:hanging="360"/>
      </w:pPr>
      <w:rPr>
        <w:rFonts w:ascii="Arial" w:hAnsi="Arial" w:hint="default"/>
      </w:rPr>
    </w:lvl>
    <w:lvl w:ilvl="4" w:tplc="C404433E" w:tentative="1">
      <w:start w:val="1"/>
      <w:numFmt w:val="bullet"/>
      <w:lvlText w:val="•"/>
      <w:lvlJc w:val="left"/>
      <w:pPr>
        <w:tabs>
          <w:tab w:val="num" w:pos="3600"/>
        </w:tabs>
        <w:ind w:left="3600" w:hanging="360"/>
      </w:pPr>
      <w:rPr>
        <w:rFonts w:ascii="Arial" w:hAnsi="Arial" w:hint="default"/>
      </w:rPr>
    </w:lvl>
    <w:lvl w:ilvl="5" w:tplc="002CE22C" w:tentative="1">
      <w:start w:val="1"/>
      <w:numFmt w:val="bullet"/>
      <w:lvlText w:val="•"/>
      <w:lvlJc w:val="left"/>
      <w:pPr>
        <w:tabs>
          <w:tab w:val="num" w:pos="4320"/>
        </w:tabs>
        <w:ind w:left="4320" w:hanging="360"/>
      </w:pPr>
      <w:rPr>
        <w:rFonts w:ascii="Arial" w:hAnsi="Arial" w:hint="default"/>
      </w:rPr>
    </w:lvl>
    <w:lvl w:ilvl="6" w:tplc="479ED910" w:tentative="1">
      <w:start w:val="1"/>
      <w:numFmt w:val="bullet"/>
      <w:lvlText w:val="•"/>
      <w:lvlJc w:val="left"/>
      <w:pPr>
        <w:tabs>
          <w:tab w:val="num" w:pos="5040"/>
        </w:tabs>
        <w:ind w:left="5040" w:hanging="360"/>
      </w:pPr>
      <w:rPr>
        <w:rFonts w:ascii="Arial" w:hAnsi="Arial" w:hint="default"/>
      </w:rPr>
    </w:lvl>
    <w:lvl w:ilvl="7" w:tplc="BCB86FDA" w:tentative="1">
      <w:start w:val="1"/>
      <w:numFmt w:val="bullet"/>
      <w:lvlText w:val="•"/>
      <w:lvlJc w:val="left"/>
      <w:pPr>
        <w:tabs>
          <w:tab w:val="num" w:pos="5760"/>
        </w:tabs>
        <w:ind w:left="5760" w:hanging="360"/>
      </w:pPr>
      <w:rPr>
        <w:rFonts w:ascii="Arial" w:hAnsi="Arial" w:hint="default"/>
      </w:rPr>
    </w:lvl>
    <w:lvl w:ilvl="8" w:tplc="9CB0BB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B15037"/>
    <w:multiLevelType w:val="hybridMultilevel"/>
    <w:tmpl w:val="157A4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5F70CDB"/>
    <w:multiLevelType w:val="hybridMultilevel"/>
    <w:tmpl w:val="C2AA8EA4"/>
    <w:lvl w:ilvl="0" w:tplc="A470F0E0">
      <w:start w:val="1"/>
      <w:numFmt w:val="bullet"/>
      <w:lvlText w:val="•"/>
      <w:lvlJc w:val="left"/>
      <w:pPr>
        <w:tabs>
          <w:tab w:val="num" w:pos="720"/>
        </w:tabs>
        <w:ind w:left="720" w:hanging="360"/>
      </w:pPr>
      <w:rPr>
        <w:rFonts w:ascii="Arial" w:hAnsi="Arial" w:hint="default"/>
      </w:rPr>
    </w:lvl>
    <w:lvl w:ilvl="1" w:tplc="4EAA3E9E" w:tentative="1">
      <w:start w:val="1"/>
      <w:numFmt w:val="bullet"/>
      <w:lvlText w:val="•"/>
      <w:lvlJc w:val="left"/>
      <w:pPr>
        <w:tabs>
          <w:tab w:val="num" w:pos="1440"/>
        </w:tabs>
        <w:ind w:left="1440" w:hanging="360"/>
      </w:pPr>
      <w:rPr>
        <w:rFonts w:ascii="Arial" w:hAnsi="Arial" w:hint="default"/>
      </w:rPr>
    </w:lvl>
    <w:lvl w:ilvl="2" w:tplc="BE22BC3E" w:tentative="1">
      <w:start w:val="1"/>
      <w:numFmt w:val="bullet"/>
      <w:lvlText w:val="•"/>
      <w:lvlJc w:val="left"/>
      <w:pPr>
        <w:tabs>
          <w:tab w:val="num" w:pos="2160"/>
        </w:tabs>
        <w:ind w:left="2160" w:hanging="360"/>
      </w:pPr>
      <w:rPr>
        <w:rFonts w:ascii="Arial" w:hAnsi="Arial" w:hint="default"/>
      </w:rPr>
    </w:lvl>
    <w:lvl w:ilvl="3" w:tplc="285CAA26" w:tentative="1">
      <w:start w:val="1"/>
      <w:numFmt w:val="bullet"/>
      <w:lvlText w:val="•"/>
      <w:lvlJc w:val="left"/>
      <w:pPr>
        <w:tabs>
          <w:tab w:val="num" w:pos="2880"/>
        </w:tabs>
        <w:ind w:left="2880" w:hanging="360"/>
      </w:pPr>
      <w:rPr>
        <w:rFonts w:ascii="Arial" w:hAnsi="Arial" w:hint="default"/>
      </w:rPr>
    </w:lvl>
    <w:lvl w:ilvl="4" w:tplc="227EAE64" w:tentative="1">
      <w:start w:val="1"/>
      <w:numFmt w:val="bullet"/>
      <w:lvlText w:val="•"/>
      <w:lvlJc w:val="left"/>
      <w:pPr>
        <w:tabs>
          <w:tab w:val="num" w:pos="3600"/>
        </w:tabs>
        <w:ind w:left="3600" w:hanging="360"/>
      </w:pPr>
      <w:rPr>
        <w:rFonts w:ascii="Arial" w:hAnsi="Arial" w:hint="default"/>
      </w:rPr>
    </w:lvl>
    <w:lvl w:ilvl="5" w:tplc="E6249A58" w:tentative="1">
      <w:start w:val="1"/>
      <w:numFmt w:val="bullet"/>
      <w:lvlText w:val="•"/>
      <w:lvlJc w:val="left"/>
      <w:pPr>
        <w:tabs>
          <w:tab w:val="num" w:pos="4320"/>
        </w:tabs>
        <w:ind w:left="4320" w:hanging="360"/>
      </w:pPr>
      <w:rPr>
        <w:rFonts w:ascii="Arial" w:hAnsi="Arial" w:hint="default"/>
      </w:rPr>
    </w:lvl>
    <w:lvl w:ilvl="6" w:tplc="A110602E" w:tentative="1">
      <w:start w:val="1"/>
      <w:numFmt w:val="bullet"/>
      <w:lvlText w:val="•"/>
      <w:lvlJc w:val="left"/>
      <w:pPr>
        <w:tabs>
          <w:tab w:val="num" w:pos="5040"/>
        </w:tabs>
        <w:ind w:left="5040" w:hanging="360"/>
      </w:pPr>
      <w:rPr>
        <w:rFonts w:ascii="Arial" w:hAnsi="Arial" w:hint="default"/>
      </w:rPr>
    </w:lvl>
    <w:lvl w:ilvl="7" w:tplc="23E42DC0" w:tentative="1">
      <w:start w:val="1"/>
      <w:numFmt w:val="bullet"/>
      <w:lvlText w:val="•"/>
      <w:lvlJc w:val="left"/>
      <w:pPr>
        <w:tabs>
          <w:tab w:val="num" w:pos="5760"/>
        </w:tabs>
        <w:ind w:left="5760" w:hanging="360"/>
      </w:pPr>
      <w:rPr>
        <w:rFonts w:ascii="Arial" w:hAnsi="Arial" w:hint="default"/>
      </w:rPr>
    </w:lvl>
    <w:lvl w:ilvl="8" w:tplc="A85C4C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B405A2"/>
    <w:multiLevelType w:val="hybridMultilevel"/>
    <w:tmpl w:val="728E1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7E3F21"/>
    <w:multiLevelType w:val="hybridMultilevel"/>
    <w:tmpl w:val="4A52BB52"/>
    <w:lvl w:ilvl="0" w:tplc="AB8CBBBC">
      <w:start w:val="1"/>
      <w:numFmt w:val="bullet"/>
      <w:lvlText w:val="•"/>
      <w:lvlJc w:val="left"/>
      <w:pPr>
        <w:tabs>
          <w:tab w:val="num" w:pos="720"/>
        </w:tabs>
        <w:ind w:left="720" w:hanging="360"/>
      </w:pPr>
      <w:rPr>
        <w:rFonts w:ascii="Arial" w:hAnsi="Arial" w:hint="default"/>
      </w:rPr>
    </w:lvl>
    <w:lvl w:ilvl="1" w:tplc="B5F2B756" w:tentative="1">
      <w:start w:val="1"/>
      <w:numFmt w:val="bullet"/>
      <w:lvlText w:val="•"/>
      <w:lvlJc w:val="left"/>
      <w:pPr>
        <w:tabs>
          <w:tab w:val="num" w:pos="1440"/>
        </w:tabs>
        <w:ind w:left="1440" w:hanging="360"/>
      </w:pPr>
      <w:rPr>
        <w:rFonts w:ascii="Arial" w:hAnsi="Arial" w:hint="default"/>
      </w:rPr>
    </w:lvl>
    <w:lvl w:ilvl="2" w:tplc="CE5EA24A" w:tentative="1">
      <w:start w:val="1"/>
      <w:numFmt w:val="bullet"/>
      <w:lvlText w:val="•"/>
      <w:lvlJc w:val="left"/>
      <w:pPr>
        <w:tabs>
          <w:tab w:val="num" w:pos="2160"/>
        </w:tabs>
        <w:ind w:left="2160" w:hanging="360"/>
      </w:pPr>
      <w:rPr>
        <w:rFonts w:ascii="Arial" w:hAnsi="Arial" w:hint="default"/>
      </w:rPr>
    </w:lvl>
    <w:lvl w:ilvl="3" w:tplc="74DE0A0A" w:tentative="1">
      <w:start w:val="1"/>
      <w:numFmt w:val="bullet"/>
      <w:lvlText w:val="•"/>
      <w:lvlJc w:val="left"/>
      <w:pPr>
        <w:tabs>
          <w:tab w:val="num" w:pos="2880"/>
        </w:tabs>
        <w:ind w:left="2880" w:hanging="360"/>
      </w:pPr>
      <w:rPr>
        <w:rFonts w:ascii="Arial" w:hAnsi="Arial" w:hint="default"/>
      </w:rPr>
    </w:lvl>
    <w:lvl w:ilvl="4" w:tplc="916C5344" w:tentative="1">
      <w:start w:val="1"/>
      <w:numFmt w:val="bullet"/>
      <w:lvlText w:val="•"/>
      <w:lvlJc w:val="left"/>
      <w:pPr>
        <w:tabs>
          <w:tab w:val="num" w:pos="3600"/>
        </w:tabs>
        <w:ind w:left="3600" w:hanging="360"/>
      </w:pPr>
      <w:rPr>
        <w:rFonts w:ascii="Arial" w:hAnsi="Arial" w:hint="default"/>
      </w:rPr>
    </w:lvl>
    <w:lvl w:ilvl="5" w:tplc="E63C21E8" w:tentative="1">
      <w:start w:val="1"/>
      <w:numFmt w:val="bullet"/>
      <w:lvlText w:val="•"/>
      <w:lvlJc w:val="left"/>
      <w:pPr>
        <w:tabs>
          <w:tab w:val="num" w:pos="4320"/>
        </w:tabs>
        <w:ind w:left="4320" w:hanging="360"/>
      </w:pPr>
      <w:rPr>
        <w:rFonts w:ascii="Arial" w:hAnsi="Arial" w:hint="default"/>
      </w:rPr>
    </w:lvl>
    <w:lvl w:ilvl="6" w:tplc="1700A5DE" w:tentative="1">
      <w:start w:val="1"/>
      <w:numFmt w:val="bullet"/>
      <w:lvlText w:val="•"/>
      <w:lvlJc w:val="left"/>
      <w:pPr>
        <w:tabs>
          <w:tab w:val="num" w:pos="5040"/>
        </w:tabs>
        <w:ind w:left="5040" w:hanging="360"/>
      </w:pPr>
      <w:rPr>
        <w:rFonts w:ascii="Arial" w:hAnsi="Arial" w:hint="default"/>
      </w:rPr>
    </w:lvl>
    <w:lvl w:ilvl="7" w:tplc="BBBC8A64" w:tentative="1">
      <w:start w:val="1"/>
      <w:numFmt w:val="bullet"/>
      <w:lvlText w:val="•"/>
      <w:lvlJc w:val="left"/>
      <w:pPr>
        <w:tabs>
          <w:tab w:val="num" w:pos="5760"/>
        </w:tabs>
        <w:ind w:left="5760" w:hanging="360"/>
      </w:pPr>
      <w:rPr>
        <w:rFonts w:ascii="Arial" w:hAnsi="Arial" w:hint="default"/>
      </w:rPr>
    </w:lvl>
    <w:lvl w:ilvl="8" w:tplc="BB4618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806EB1"/>
    <w:multiLevelType w:val="hybridMultilevel"/>
    <w:tmpl w:val="95487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7430A49"/>
    <w:multiLevelType w:val="hybridMultilevel"/>
    <w:tmpl w:val="9556A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24"/>
  </w:num>
  <w:num w:numId="6">
    <w:abstractNumId w:val="10"/>
  </w:num>
  <w:num w:numId="7">
    <w:abstractNumId w:val="12"/>
  </w:num>
  <w:num w:numId="8">
    <w:abstractNumId w:val="1"/>
  </w:num>
  <w:num w:numId="9">
    <w:abstractNumId w:val="20"/>
  </w:num>
  <w:num w:numId="10">
    <w:abstractNumId w:val="23"/>
  </w:num>
  <w:num w:numId="11">
    <w:abstractNumId w:val="11"/>
  </w:num>
  <w:num w:numId="12">
    <w:abstractNumId w:val="22"/>
  </w:num>
  <w:num w:numId="13">
    <w:abstractNumId w:val="18"/>
  </w:num>
  <w:num w:numId="14">
    <w:abstractNumId w:val="7"/>
  </w:num>
  <w:num w:numId="15">
    <w:abstractNumId w:val="16"/>
  </w:num>
  <w:num w:numId="16">
    <w:abstractNumId w:val="4"/>
  </w:num>
  <w:num w:numId="17">
    <w:abstractNumId w:val="17"/>
  </w:num>
  <w:num w:numId="18">
    <w:abstractNumId w:val="13"/>
  </w:num>
  <w:num w:numId="19">
    <w:abstractNumId w:val="15"/>
  </w:num>
  <w:num w:numId="20">
    <w:abstractNumId w:val="19"/>
  </w:num>
  <w:num w:numId="21">
    <w:abstractNumId w:val="2"/>
  </w:num>
  <w:num w:numId="22">
    <w:abstractNumId w:val="21"/>
  </w:num>
  <w:num w:numId="23">
    <w:abstractNumId w:val="8"/>
  </w:num>
  <w:num w:numId="24">
    <w:abstractNumId w:val="3"/>
  </w:num>
  <w:num w:numId="2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CF"/>
    <w:rsid w:val="00001160"/>
    <w:rsid w:val="00001FB2"/>
    <w:rsid w:val="00004ABC"/>
    <w:rsid w:val="000054A8"/>
    <w:rsid w:val="00014308"/>
    <w:rsid w:val="00015B7A"/>
    <w:rsid w:val="00021129"/>
    <w:rsid w:val="00030DAE"/>
    <w:rsid w:val="00031FB1"/>
    <w:rsid w:val="00032C7D"/>
    <w:rsid w:val="00035259"/>
    <w:rsid w:val="0003608F"/>
    <w:rsid w:val="00037A26"/>
    <w:rsid w:val="000403EF"/>
    <w:rsid w:val="000405CB"/>
    <w:rsid w:val="00044CCF"/>
    <w:rsid w:val="000518F2"/>
    <w:rsid w:val="000569AD"/>
    <w:rsid w:val="000574D5"/>
    <w:rsid w:val="00063548"/>
    <w:rsid w:val="00066210"/>
    <w:rsid w:val="0006643A"/>
    <w:rsid w:val="00066984"/>
    <w:rsid w:val="0007391B"/>
    <w:rsid w:val="0008066C"/>
    <w:rsid w:val="00080A5B"/>
    <w:rsid w:val="000821E2"/>
    <w:rsid w:val="00087218"/>
    <w:rsid w:val="000875D1"/>
    <w:rsid w:val="00087BFB"/>
    <w:rsid w:val="000912B7"/>
    <w:rsid w:val="00091B19"/>
    <w:rsid w:val="00092A83"/>
    <w:rsid w:val="000959B9"/>
    <w:rsid w:val="000A1526"/>
    <w:rsid w:val="000A3CDD"/>
    <w:rsid w:val="000A5929"/>
    <w:rsid w:val="000A63FC"/>
    <w:rsid w:val="000A6C51"/>
    <w:rsid w:val="000A76D9"/>
    <w:rsid w:val="000B2BDE"/>
    <w:rsid w:val="000B4D37"/>
    <w:rsid w:val="000B7151"/>
    <w:rsid w:val="000C3815"/>
    <w:rsid w:val="000C4160"/>
    <w:rsid w:val="000C49CF"/>
    <w:rsid w:val="000C7DD7"/>
    <w:rsid w:val="000D29CE"/>
    <w:rsid w:val="000D3543"/>
    <w:rsid w:val="000D3936"/>
    <w:rsid w:val="000D39BE"/>
    <w:rsid w:val="000D451E"/>
    <w:rsid w:val="000D59FB"/>
    <w:rsid w:val="000D641A"/>
    <w:rsid w:val="000E0B56"/>
    <w:rsid w:val="000F02CD"/>
    <w:rsid w:val="000F0D78"/>
    <w:rsid w:val="000F68C1"/>
    <w:rsid w:val="00101838"/>
    <w:rsid w:val="00106E01"/>
    <w:rsid w:val="00125454"/>
    <w:rsid w:val="00125CD6"/>
    <w:rsid w:val="00125F4D"/>
    <w:rsid w:val="00131E6B"/>
    <w:rsid w:val="001330D5"/>
    <w:rsid w:val="001333FB"/>
    <w:rsid w:val="001350E8"/>
    <w:rsid w:val="0013612E"/>
    <w:rsid w:val="001442CC"/>
    <w:rsid w:val="00150A6D"/>
    <w:rsid w:val="00150C2A"/>
    <w:rsid w:val="00150F87"/>
    <w:rsid w:val="00152384"/>
    <w:rsid w:val="00152AE6"/>
    <w:rsid w:val="00154124"/>
    <w:rsid w:val="001578BF"/>
    <w:rsid w:val="001600FF"/>
    <w:rsid w:val="001621F9"/>
    <w:rsid w:val="0016268C"/>
    <w:rsid w:val="0016576D"/>
    <w:rsid w:val="00166A03"/>
    <w:rsid w:val="00171A43"/>
    <w:rsid w:val="001741B3"/>
    <w:rsid w:val="0018642A"/>
    <w:rsid w:val="001865D6"/>
    <w:rsid w:val="00186C80"/>
    <w:rsid w:val="00193C5E"/>
    <w:rsid w:val="00193C65"/>
    <w:rsid w:val="00196CD0"/>
    <w:rsid w:val="00197A1B"/>
    <w:rsid w:val="001A139F"/>
    <w:rsid w:val="001A17DD"/>
    <w:rsid w:val="001A6661"/>
    <w:rsid w:val="001A7188"/>
    <w:rsid w:val="001B23F7"/>
    <w:rsid w:val="001B3022"/>
    <w:rsid w:val="001B7DFC"/>
    <w:rsid w:val="001C524A"/>
    <w:rsid w:val="001C598A"/>
    <w:rsid w:val="001C62C9"/>
    <w:rsid w:val="001D415A"/>
    <w:rsid w:val="001D52CA"/>
    <w:rsid w:val="001D6200"/>
    <w:rsid w:val="001D67F0"/>
    <w:rsid w:val="001D76D0"/>
    <w:rsid w:val="001E1739"/>
    <w:rsid w:val="001E4E0E"/>
    <w:rsid w:val="001E6AC1"/>
    <w:rsid w:val="001F1E75"/>
    <w:rsid w:val="001F2B32"/>
    <w:rsid w:val="001F3547"/>
    <w:rsid w:val="001F7940"/>
    <w:rsid w:val="002007BF"/>
    <w:rsid w:val="00201DE0"/>
    <w:rsid w:val="002027C4"/>
    <w:rsid w:val="00203BD3"/>
    <w:rsid w:val="00212A3A"/>
    <w:rsid w:val="002207B8"/>
    <w:rsid w:val="0022123A"/>
    <w:rsid w:val="00223EBF"/>
    <w:rsid w:val="0022599B"/>
    <w:rsid w:val="002269E5"/>
    <w:rsid w:val="002521D5"/>
    <w:rsid w:val="00263F8B"/>
    <w:rsid w:val="00265D86"/>
    <w:rsid w:val="0027004B"/>
    <w:rsid w:val="0027457C"/>
    <w:rsid w:val="002745B8"/>
    <w:rsid w:val="0027740E"/>
    <w:rsid w:val="00283831"/>
    <w:rsid w:val="002948B3"/>
    <w:rsid w:val="00295D37"/>
    <w:rsid w:val="002A115A"/>
    <w:rsid w:val="002A236E"/>
    <w:rsid w:val="002A33F7"/>
    <w:rsid w:val="002A496A"/>
    <w:rsid w:val="002A50F2"/>
    <w:rsid w:val="002B46AA"/>
    <w:rsid w:val="002B50D4"/>
    <w:rsid w:val="002B684B"/>
    <w:rsid w:val="002C04F6"/>
    <w:rsid w:val="002C19BF"/>
    <w:rsid w:val="002C3AB2"/>
    <w:rsid w:val="002C4F99"/>
    <w:rsid w:val="002D5DF6"/>
    <w:rsid w:val="002D5FDB"/>
    <w:rsid w:val="002D77AE"/>
    <w:rsid w:val="002E18B2"/>
    <w:rsid w:val="002E47D4"/>
    <w:rsid w:val="002E4EC9"/>
    <w:rsid w:val="002E7D52"/>
    <w:rsid w:val="00310604"/>
    <w:rsid w:val="003116CB"/>
    <w:rsid w:val="00314250"/>
    <w:rsid w:val="00315277"/>
    <w:rsid w:val="00317AF7"/>
    <w:rsid w:val="003226DF"/>
    <w:rsid w:val="003236D1"/>
    <w:rsid w:val="00326A28"/>
    <w:rsid w:val="00333E6B"/>
    <w:rsid w:val="00341B32"/>
    <w:rsid w:val="00341D94"/>
    <w:rsid w:val="00342B9B"/>
    <w:rsid w:val="00342F5C"/>
    <w:rsid w:val="0034398B"/>
    <w:rsid w:val="003444B8"/>
    <w:rsid w:val="0034459B"/>
    <w:rsid w:val="003510EB"/>
    <w:rsid w:val="0035273A"/>
    <w:rsid w:val="00353815"/>
    <w:rsid w:val="00353FE2"/>
    <w:rsid w:val="00363A28"/>
    <w:rsid w:val="003657A7"/>
    <w:rsid w:val="00366FB2"/>
    <w:rsid w:val="003800CE"/>
    <w:rsid w:val="00383258"/>
    <w:rsid w:val="00384AA1"/>
    <w:rsid w:val="00385B17"/>
    <w:rsid w:val="00385EC6"/>
    <w:rsid w:val="0039238F"/>
    <w:rsid w:val="003972F6"/>
    <w:rsid w:val="003A0818"/>
    <w:rsid w:val="003A221F"/>
    <w:rsid w:val="003A24F5"/>
    <w:rsid w:val="003B0306"/>
    <w:rsid w:val="003B09DC"/>
    <w:rsid w:val="003B55F6"/>
    <w:rsid w:val="003B56E3"/>
    <w:rsid w:val="003B74A5"/>
    <w:rsid w:val="003C1A08"/>
    <w:rsid w:val="003C6D29"/>
    <w:rsid w:val="003D0049"/>
    <w:rsid w:val="003D0961"/>
    <w:rsid w:val="003D1776"/>
    <w:rsid w:val="003D5270"/>
    <w:rsid w:val="003D566F"/>
    <w:rsid w:val="003D5E50"/>
    <w:rsid w:val="003E325F"/>
    <w:rsid w:val="003E33F1"/>
    <w:rsid w:val="003E3A54"/>
    <w:rsid w:val="003E6448"/>
    <w:rsid w:val="003F04C4"/>
    <w:rsid w:val="003F1E90"/>
    <w:rsid w:val="003F26DB"/>
    <w:rsid w:val="003F4185"/>
    <w:rsid w:val="00406D3F"/>
    <w:rsid w:val="00410C85"/>
    <w:rsid w:val="00413C91"/>
    <w:rsid w:val="00422E23"/>
    <w:rsid w:val="00427322"/>
    <w:rsid w:val="00427538"/>
    <w:rsid w:val="00432511"/>
    <w:rsid w:val="00434AD8"/>
    <w:rsid w:val="004375BD"/>
    <w:rsid w:val="00437C13"/>
    <w:rsid w:val="004402C2"/>
    <w:rsid w:val="004423FB"/>
    <w:rsid w:val="004425AA"/>
    <w:rsid w:val="00443580"/>
    <w:rsid w:val="00443673"/>
    <w:rsid w:val="00443974"/>
    <w:rsid w:val="004445AC"/>
    <w:rsid w:val="00444DA4"/>
    <w:rsid w:val="00445966"/>
    <w:rsid w:val="004464F4"/>
    <w:rsid w:val="004470D0"/>
    <w:rsid w:val="0044781B"/>
    <w:rsid w:val="00452361"/>
    <w:rsid w:val="004571A8"/>
    <w:rsid w:val="00460671"/>
    <w:rsid w:val="00466671"/>
    <w:rsid w:val="00466C42"/>
    <w:rsid w:val="00480B45"/>
    <w:rsid w:val="00484AB4"/>
    <w:rsid w:val="00486686"/>
    <w:rsid w:val="00487FDB"/>
    <w:rsid w:val="004904B0"/>
    <w:rsid w:val="00490CC6"/>
    <w:rsid w:val="00495D35"/>
    <w:rsid w:val="004A200F"/>
    <w:rsid w:val="004A2050"/>
    <w:rsid w:val="004A3440"/>
    <w:rsid w:val="004A6E95"/>
    <w:rsid w:val="004B3394"/>
    <w:rsid w:val="004B5BF3"/>
    <w:rsid w:val="004B6CC9"/>
    <w:rsid w:val="004C1FFA"/>
    <w:rsid w:val="004C2F95"/>
    <w:rsid w:val="004C4267"/>
    <w:rsid w:val="004C5229"/>
    <w:rsid w:val="004D1D46"/>
    <w:rsid w:val="004D7874"/>
    <w:rsid w:val="004E4C22"/>
    <w:rsid w:val="004E6814"/>
    <w:rsid w:val="004F05A6"/>
    <w:rsid w:val="004F5B9D"/>
    <w:rsid w:val="004F684C"/>
    <w:rsid w:val="004F7ABE"/>
    <w:rsid w:val="0050073E"/>
    <w:rsid w:val="005062BF"/>
    <w:rsid w:val="00506DE4"/>
    <w:rsid w:val="00512824"/>
    <w:rsid w:val="00514278"/>
    <w:rsid w:val="00515FF5"/>
    <w:rsid w:val="00516B41"/>
    <w:rsid w:val="00516DE4"/>
    <w:rsid w:val="00520DB4"/>
    <w:rsid w:val="00523FF5"/>
    <w:rsid w:val="00525409"/>
    <w:rsid w:val="00532BEF"/>
    <w:rsid w:val="00533F4B"/>
    <w:rsid w:val="00534749"/>
    <w:rsid w:val="0053723D"/>
    <w:rsid w:val="00541267"/>
    <w:rsid w:val="005416C7"/>
    <w:rsid w:val="0054211D"/>
    <w:rsid w:val="00544130"/>
    <w:rsid w:val="00545EC0"/>
    <w:rsid w:val="00547786"/>
    <w:rsid w:val="00547E65"/>
    <w:rsid w:val="00550203"/>
    <w:rsid w:val="0055159E"/>
    <w:rsid w:val="00552889"/>
    <w:rsid w:val="00554218"/>
    <w:rsid w:val="00560711"/>
    <w:rsid w:val="00563F55"/>
    <w:rsid w:val="00564242"/>
    <w:rsid w:val="00564718"/>
    <w:rsid w:val="00565446"/>
    <w:rsid w:val="00567CAE"/>
    <w:rsid w:val="00571FBA"/>
    <w:rsid w:val="005754C3"/>
    <w:rsid w:val="0057553D"/>
    <w:rsid w:val="00576720"/>
    <w:rsid w:val="00577B80"/>
    <w:rsid w:val="00577D29"/>
    <w:rsid w:val="005846DA"/>
    <w:rsid w:val="0058507A"/>
    <w:rsid w:val="00586C93"/>
    <w:rsid w:val="00591654"/>
    <w:rsid w:val="00593F27"/>
    <w:rsid w:val="00594352"/>
    <w:rsid w:val="005946E2"/>
    <w:rsid w:val="0059515C"/>
    <w:rsid w:val="005953F8"/>
    <w:rsid w:val="00596BA8"/>
    <w:rsid w:val="005A2CD8"/>
    <w:rsid w:val="005B036F"/>
    <w:rsid w:val="005B212D"/>
    <w:rsid w:val="005B28C3"/>
    <w:rsid w:val="005B4394"/>
    <w:rsid w:val="005B55D4"/>
    <w:rsid w:val="005B6078"/>
    <w:rsid w:val="005B6A82"/>
    <w:rsid w:val="005C17FE"/>
    <w:rsid w:val="005C3EA5"/>
    <w:rsid w:val="005C581E"/>
    <w:rsid w:val="005C6F26"/>
    <w:rsid w:val="005D1468"/>
    <w:rsid w:val="005D6E6B"/>
    <w:rsid w:val="005D6E86"/>
    <w:rsid w:val="005E0DB9"/>
    <w:rsid w:val="005E2202"/>
    <w:rsid w:val="005E4384"/>
    <w:rsid w:val="005F07B9"/>
    <w:rsid w:val="005F1E7D"/>
    <w:rsid w:val="005F5420"/>
    <w:rsid w:val="005F5A99"/>
    <w:rsid w:val="0060294D"/>
    <w:rsid w:val="006035F6"/>
    <w:rsid w:val="00605950"/>
    <w:rsid w:val="0060698D"/>
    <w:rsid w:val="00607AB4"/>
    <w:rsid w:val="00607D82"/>
    <w:rsid w:val="00611DEC"/>
    <w:rsid w:val="00613636"/>
    <w:rsid w:val="00614716"/>
    <w:rsid w:val="00620D2C"/>
    <w:rsid w:val="00620D71"/>
    <w:rsid w:val="0062356D"/>
    <w:rsid w:val="006248BB"/>
    <w:rsid w:val="006257DB"/>
    <w:rsid w:val="006279C5"/>
    <w:rsid w:val="00631F8A"/>
    <w:rsid w:val="00633061"/>
    <w:rsid w:val="00635AEF"/>
    <w:rsid w:val="00640B88"/>
    <w:rsid w:val="006447E6"/>
    <w:rsid w:val="00645D1E"/>
    <w:rsid w:val="0065674D"/>
    <w:rsid w:val="006574CC"/>
    <w:rsid w:val="00661A11"/>
    <w:rsid w:val="00662C8A"/>
    <w:rsid w:val="00665227"/>
    <w:rsid w:val="0066604A"/>
    <w:rsid w:val="00666DFA"/>
    <w:rsid w:val="00667057"/>
    <w:rsid w:val="00667EF9"/>
    <w:rsid w:val="006718AB"/>
    <w:rsid w:val="006827D7"/>
    <w:rsid w:val="006862FA"/>
    <w:rsid w:val="00692057"/>
    <w:rsid w:val="00694BBC"/>
    <w:rsid w:val="006A049D"/>
    <w:rsid w:val="006A1EAB"/>
    <w:rsid w:val="006A4783"/>
    <w:rsid w:val="006A5940"/>
    <w:rsid w:val="006A5976"/>
    <w:rsid w:val="006A77E1"/>
    <w:rsid w:val="006B52A8"/>
    <w:rsid w:val="006C0A80"/>
    <w:rsid w:val="006C0CC2"/>
    <w:rsid w:val="006C3154"/>
    <w:rsid w:val="006C3C85"/>
    <w:rsid w:val="006C5651"/>
    <w:rsid w:val="006C7106"/>
    <w:rsid w:val="006D31F8"/>
    <w:rsid w:val="006D6459"/>
    <w:rsid w:val="006D6655"/>
    <w:rsid w:val="006D66C9"/>
    <w:rsid w:val="006E0E5F"/>
    <w:rsid w:val="006E6589"/>
    <w:rsid w:val="006F2B32"/>
    <w:rsid w:val="006F2E94"/>
    <w:rsid w:val="006F3B21"/>
    <w:rsid w:val="006F3B8A"/>
    <w:rsid w:val="00701C7D"/>
    <w:rsid w:val="007054A8"/>
    <w:rsid w:val="0070693B"/>
    <w:rsid w:val="007167CE"/>
    <w:rsid w:val="0071730E"/>
    <w:rsid w:val="00721CDA"/>
    <w:rsid w:val="00730CC3"/>
    <w:rsid w:val="00730E9A"/>
    <w:rsid w:val="00732FE4"/>
    <w:rsid w:val="00737224"/>
    <w:rsid w:val="00740D8A"/>
    <w:rsid w:val="007427A5"/>
    <w:rsid w:val="00743795"/>
    <w:rsid w:val="007438B2"/>
    <w:rsid w:val="007467B2"/>
    <w:rsid w:val="00755514"/>
    <w:rsid w:val="0076009B"/>
    <w:rsid w:val="007614FF"/>
    <w:rsid w:val="00762DB3"/>
    <w:rsid w:val="00763632"/>
    <w:rsid w:val="0076434A"/>
    <w:rsid w:val="00770DC6"/>
    <w:rsid w:val="0077562D"/>
    <w:rsid w:val="007804F3"/>
    <w:rsid w:val="00781F46"/>
    <w:rsid w:val="007835A7"/>
    <w:rsid w:val="007854A0"/>
    <w:rsid w:val="007866FF"/>
    <w:rsid w:val="00787798"/>
    <w:rsid w:val="0078796E"/>
    <w:rsid w:val="00791544"/>
    <w:rsid w:val="00792464"/>
    <w:rsid w:val="007A0AB6"/>
    <w:rsid w:val="007A30A9"/>
    <w:rsid w:val="007A3707"/>
    <w:rsid w:val="007A4202"/>
    <w:rsid w:val="007B5694"/>
    <w:rsid w:val="007B629F"/>
    <w:rsid w:val="007B6F61"/>
    <w:rsid w:val="007B756B"/>
    <w:rsid w:val="007C44AB"/>
    <w:rsid w:val="007D0976"/>
    <w:rsid w:val="007D0D4B"/>
    <w:rsid w:val="007D3774"/>
    <w:rsid w:val="007D3DC3"/>
    <w:rsid w:val="007E0BD6"/>
    <w:rsid w:val="007E15BE"/>
    <w:rsid w:val="007E324B"/>
    <w:rsid w:val="007E47C9"/>
    <w:rsid w:val="007E6014"/>
    <w:rsid w:val="007F118C"/>
    <w:rsid w:val="007F1BD1"/>
    <w:rsid w:val="007F3C19"/>
    <w:rsid w:val="007F5290"/>
    <w:rsid w:val="007F6482"/>
    <w:rsid w:val="008004CB"/>
    <w:rsid w:val="008006DC"/>
    <w:rsid w:val="00800837"/>
    <w:rsid w:val="0080089C"/>
    <w:rsid w:val="00820A0B"/>
    <w:rsid w:val="00825507"/>
    <w:rsid w:val="008255F0"/>
    <w:rsid w:val="0083065C"/>
    <w:rsid w:val="008315EE"/>
    <w:rsid w:val="00836D59"/>
    <w:rsid w:val="0083778A"/>
    <w:rsid w:val="00837BB1"/>
    <w:rsid w:val="00845686"/>
    <w:rsid w:val="00853E87"/>
    <w:rsid w:val="00856E41"/>
    <w:rsid w:val="008605B7"/>
    <w:rsid w:val="00860870"/>
    <w:rsid w:val="008616D5"/>
    <w:rsid w:val="00861AB2"/>
    <w:rsid w:val="00863257"/>
    <w:rsid w:val="0086352B"/>
    <w:rsid w:val="00864242"/>
    <w:rsid w:val="00870A30"/>
    <w:rsid w:val="00873303"/>
    <w:rsid w:val="008741BA"/>
    <w:rsid w:val="00881188"/>
    <w:rsid w:val="008815CA"/>
    <w:rsid w:val="008822FA"/>
    <w:rsid w:val="00884551"/>
    <w:rsid w:val="00884D3B"/>
    <w:rsid w:val="00891758"/>
    <w:rsid w:val="00892592"/>
    <w:rsid w:val="00894EEC"/>
    <w:rsid w:val="00895772"/>
    <w:rsid w:val="00895DF9"/>
    <w:rsid w:val="008963AD"/>
    <w:rsid w:val="00896F16"/>
    <w:rsid w:val="008A2A5C"/>
    <w:rsid w:val="008A41BA"/>
    <w:rsid w:val="008A6951"/>
    <w:rsid w:val="008B0030"/>
    <w:rsid w:val="008B3A65"/>
    <w:rsid w:val="008B4CF5"/>
    <w:rsid w:val="008C61B2"/>
    <w:rsid w:val="008C69F4"/>
    <w:rsid w:val="008D1450"/>
    <w:rsid w:val="008D5DA6"/>
    <w:rsid w:val="008D6965"/>
    <w:rsid w:val="008E06DE"/>
    <w:rsid w:val="008E17D5"/>
    <w:rsid w:val="008E388E"/>
    <w:rsid w:val="008E4593"/>
    <w:rsid w:val="008E684D"/>
    <w:rsid w:val="008F7228"/>
    <w:rsid w:val="00900A26"/>
    <w:rsid w:val="00902C4B"/>
    <w:rsid w:val="00904921"/>
    <w:rsid w:val="0090768E"/>
    <w:rsid w:val="009155AA"/>
    <w:rsid w:val="00915F83"/>
    <w:rsid w:val="009165C8"/>
    <w:rsid w:val="00922FFA"/>
    <w:rsid w:val="00923193"/>
    <w:rsid w:val="00931A77"/>
    <w:rsid w:val="00932836"/>
    <w:rsid w:val="009361E7"/>
    <w:rsid w:val="0093681B"/>
    <w:rsid w:val="00943AD0"/>
    <w:rsid w:val="009440D5"/>
    <w:rsid w:val="00945AB4"/>
    <w:rsid w:val="00946EB0"/>
    <w:rsid w:val="0095415A"/>
    <w:rsid w:val="00956687"/>
    <w:rsid w:val="0096069F"/>
    <w:rsid w:val="0096131E"/>
    <w:rsid w:val="00965987"/>
    <w:rsid w:val="009679B9"/>
    <w:rsid w:val="009704B6"/>
    <w:rsid w:val="00971ED2"/>
    <w:rsid w:val="00981197"/>
    <w:rsid w:val="00986C5A"/>
    <w:rsid w:val="00987DF8"/>
    <w:rsid w:val="00995B53"/>
    <w:rsid w:val="00996BE4"/>
    <w:rsid w:val="009A0442"/>
    <w:rsid w:val="009A0DE6"/>
    <w:rsid w:val="009A3428"/>
    <w:rsid w:val="009A3F51"/>
    <w:rsid w:val="009A59C3"/>
    <w:rsid w:val="009A6DF9"/>
    <w:rsid w:val="009B1143"/>
    <w:rsid w:val="009B3C99"/>
    <w:rsid w:val="009B50E7"/>
    <w:rsid w:val="009B52DE"/>
    <w:rsid w:val="009C13F5"/>
    <w:rsid w:val="009C3969"/>
    <w:rsid w:val="009C3C66"/>
    <w:rsid w:val="009C50B6"/>
    <w:rsid w:val="009C7A4C"/>
    <w:rsid w:val="009D229E"/>
    <w:rsid w:val="009D3B2B"/>
    <w:rsid w:val="009D4272"/>
    <w:rsid w:val="009D6E56"/>
    <w:rsid w:val="009D73D1"/>
    <w:rsid w:val="009D75A2"/>
    <w:rsid w:val="009E05DA"/>
    <w:rsid w:val="009E1AB4"/>
    <w:rsid w:val="009E4062"/>
    <w:rsid w:val="009E454F"/>
    <w:rsid w:val="009E6D8B"/>
    <w:rsid w:val="009E6E26"/>
    <w:rsid w:val="009F0929"/>
    <w:rsid w:val="009F19B8"/>
    <w:rsid w:val="009F23FA"/>
    <w:rsid w:val="009F71AE"/>
    <w:rsid w:val="00A013AF"/>
    <w:rsid w:val="00A02A02"/>
    <w:rsid w:val="00A03655"/>
    <w:rsid w:val="00A06E02"/>
    <w:rsid w:val="00A20597"/>
    <w:rsid w:val="00A2194A"/>
    <w:rsid w:val="00A31424"/>
    <w:rsid w:val="00A329F1"/>
    <w:rsid w:val="00A347F8"/>
    <w:rsid w:val="00A35DF4"/>
    <w:rsid w:val="00A36084"/>
    <w:rsid w:val="00A37248"/>
    <w:rsid w:val="00A37378"/>
    <w:rsid w:val="00A37E70"/>
    <w:rsid w:val="00A40376"/>
    <w:rsid w:val="00A4229C"/>
    <w:rsid w:val="00A4254E"/>
    <w:rsid w:val="00A45BAF"/>
    <w:rsid w:val="00A506FD"/>
    <w:rsid w:val="00A52258"/>
    <w:rsid w:val="00A60940"/>
    <w:rsid w:val="00A67CE8"/>
    <w:rsid w:val="00A73830"/>
    <w:rsid w:val="00A745FF"/>
    <w:rsid w:val="00A75DF8"/>
    <w:rsid w:val="00A760B4"/>
    <w:rsid w:val="00A77340"/>
    <w:rsid w:val="00A77749"/>
    <w:rsid w:val="00A809BD"/>
    <w:rsid w:val="00A80E74"/>
    <w:rsid w:val="00A833EA"/>
    <w:rsid w:val="00A8573A"/>
    <w:rsid w:val="00A9325B"/>
    <w:rsid w:val="00A9481A"/>
    <w:rsid w:val="00AA00A2"/>
    <w:rsid w:val="00AA3946"/>
    <w:rsid w:val="00AA4137"/>
    <w:rsid w:val="00AA48D1"/>
    <w:rsid w:val="00AA5395"/>
    <w:rsid w:val="00AA5CD5"/>
    <w:rsid w:val="00AA7704"/>
    <w:rsid w:val="00AA7719"/>
    <w:rsid w:val="00AB37AC"/>
    <w:rsid w:val="00AB3A28"/>
    <w:rsid w:val="00AB49AA"/>
    <w:rsid w:val="00AB7FB1"/>
    <w:rsid w:val="00AC1B76"/>
    <w:rsid w:val="00AC275C"/>
    <w:rsid w:val="00AD5B1E"/>
    <w:rsid w:val="00AD656B"/>
    <w:rsid w:val="00AE4651"/>
    <w:rsid w:val="00AE51D9"/>
    <w:rsid w:val="00AE5C17"/>
    <w:rsid w:val="00AF00E7"/>
    <w:rsid w:val="00AF0371"/>
    <w:rsid w:val="00AF283D"/>
    <w:rsid w:val="00AF2FA4"/>
    <w:rsid w:val="00B01119"/>
    <w:rsid w:val="00B01730"/>
    <w:rsid w:val="00B01924"/>
    <w:rsid w:val="00B02309"/>
    <w:rsid w:val="00B04EDF"/>
    <w:rsid w:val="00B05D3D"/>
    <w:rsid w:val="00B0609C"/>
    <w:rsid w:val="00B0706F"/>
    <w:rsid w:val="00B114BE"/>
    <w:rsid w:val="00B14CCC"/>
    <w:rsid w:val="00B1505C"/>
    <w:rsid w:val="00B1517F"/>
    <w:rsid w:val="00B21119"/>
    <w:rsid w:val="00B27E67"/>
    <w:rsid w:val="00B308AB"/>
    <w:rsid w:val="00B34D45"/>
    <w:rsid w:val="00B411DA"/>
    <w:rsid w:val="00B4149A"/>
    <w:rsid w:val="00B43B1D"/>
    <w:rsid w:val="00B4667A"/>
    <w:rsid w:val="00B470E4"/>
    <w:rsid w:val="00B5121A"/>
    <w:rsid w:val="00B51D7F"/>
    <w:rsid w:val="00B555B5"/>
    <w:rsid w:val="00B57548"/>
    <w:rsid w:val="00B60718"/>
    <w:rsid w:val="00B64F6F"/>
    <w:rsid w:val="00B6600F"/>
    <w:rsid w:val="00B66C9F"/>
    <w:rsid w:val="00B67517"/>
    <w:rsid w:val="00B75708"/>
    <w:rsid w:val="00B854CE"/>
    <w:rsid w:val="00B90528"/>
    <w:rsid w:val="00B9412D"/>
    <w:rsid w:val="00B94591"/>
    <w:rsid w:val="00B94B7E"/>
    <w:rsid w:val="00BA06D2"/>
    <w:rsid w:val="00BA32BD"/>
    <w:rsid w:val="00BA3BA9"/>
    <w:rsid w:val="00BB040C"/>
    <w:rsid w:val="00BB5135"/>
    <w:rsid w:val="00BB58BB"/>
    <w:rsid w:val="00BC467D"/>
    <w:rsid w:val="00BC5B28"/>
    <w:rsid w:val="00BC64D7"/>
    <w:rsid w:val="00BC701B"/>
    <w:rsid w:val="00BC7B95"/>
    <w:rsid w:val="00BC7DF3"/>
    <w:rsid w:val="00BD10EE"/>
    <w:rsid w:val="00BD3B93"/>
    <w:rsid w:val="00BD4188"/>
    <w:rsid w:val="00BE3EE0"/>
    <w:rsid w:val="00BE4A88"/>
    <w:rsid w:val="00BE5083"/>
    <w:rsid w:val="00BF06E5"/>
    <w:rsid w:val="00BF4273"/>
    <w:rsid w:val="00C0039B"/>
    <w:rsid w:val="00C009FD"/>
    <w:rsid w:val="00C031FA"/>
    <w:rsid w:val="00C06690"/>
    <w:rsid w:val="00C20120"/>
    <w:rsid w:val="00C20179"/>
    <w:rsid w:val="00C204BD"/>
    <w:rsid w:val="00C22C4E"/>
    <w:rsid w:val="00C268DE"/>
    <w:rsid w:val="00C2789F"/>
    <w:rsid w:val="00C33F81"/>
    <w:rsid w:val="00C35AAD"/>
    <w:rsid w:val="00C36490"/>
    <w:rsid w:val="00C4090F"/>
    <w:rsid w:val="00C4473F"/>
    <w:rsid w:val="00C45912"/>
    <w:rsid w:val="00C46B7C"/>
    <w:rsid w:val="00C50D47"/>
    <w:rsid w:val="00C52EA8"/>
    <w:rsid w:val="00C55236"/>
    <w:rsid w:val="00C564F2"/>
    <w:rsid w:val="00C57007"/>
    <w:rsid w:val="00C65034"/>
    <w:rsid w:val="00C71F92"/>
    <w:rsid w:val="00C73441"/>
    <w:rsid w:val="00C74B7B"/>
    <w:rsid w:val="00C81F33"/>
    <w:rsid w:val="00C82578"/>
    <w:rsid w:val="00C85806"/>
    <w:rsid w:val="00C8669F"/>
    <w:rsid w:val="00C8747E"/>
    <w:rsid w:val="00C8766D"/>
    <w:rsid w:val="00C87FA2"/>
    <w:rsid w:val="00C93B09"/>
    <w:rsid w:val="00CA296E"/>
    <w:rsid w:val="00CA2E6E"/>
    <w:rsid w:val="00CA3431"/>
    <w:rsid w:val="00CA4B6A"/>
    <w:rsid w:val="00CA7900"/>
    <w:rsid w:val="00CA7A88"/>
    <w:rsid w:val="00CB0191"/>
    <w:rsid w:val="00CB0E68"/>
    <w:rsid w:val="00CC23A1"/>
    <w:rsid w:val="00CC74E3"/>
    <w:rsid w:val="00CD5C7E"/>
    <w:rsid w:val="00CE556A"/>
    <w:rsid w:val="00CF1780"/>
    <w:rsid w:val="00CF3FCD"/>
    <w:rsid w:val="00CF44A7"/>
    <w:rsid w:val="00CF71BA"/>
    <w:rsid w:val="00D02E0A"/>
    <w:rsid w:val="00D03E91"/>
    <w:rsid w:val="00D11A78"/>
    <w:rsid w:val="00D16C30"/>
    <w:rsid w:val="00D2245B"/>
    <w:rsid w:val="00D2534D"/>
    <w:rsid w:val="00D26C49"/>
    <w:rsid w:val="00D26FB4"/>
    <w:rsid w:val="00D33D25"/>
    <w:rsid w:val="00D40A91"/>
    <w:rsid w:val="00D41BDA"/>
    <w:rsid w:val="00D4510A"/>
    <w:rsid w:val="00D47848"/>
    <w:rsid w:val="00D47ECD"/>
    <w:rsid w:val="00D52613"/>
    <w:rsid w:val="00D55C2E"/>
    <w:rsid w:val="00D61BAA"/>
    <w:rsid w:val="00D61F0D"/>
    <w:rsid w:val="00D62B9B"/>
    <w:rsid w:val="00D67D2A"/>
    <w:rsid w:val="00D8172A"/>
    <w:rsid w:val="00D8682A"/>
    <w:rsid w:val="00D921D8"/>
    <w:rsid w:val="00D9572B"/>
    <w:rsid w:val="00DA58D9"/>
    <w:rsid w:val="00DB2567"/>
    <w:rsid w:val="00DB2BF9"/>
    <w:rsid w:val="00DB58CF"/>
    <w:rsid w:val="00DB7902"/>
    <w:rsid w:val="00DC4B35"/>
    <w:rsid w:val="00DC549E"/>
    <w:rsid w:val="00DC59FE"/>
    <w:rsid w:val="00DC7435"/>
    <w:rsid w:val="00DC7FAD"/>
    <w:rsid w:val="00DD3872"/>
    <w:rsid w:val="00DE3C50"/>
    <w:rsid w:val="00DE582C"/>
    <w:rsid w:val="00DF6ACF"/>
    <w:rsid w:val="00E0043B"/>
    <w:rsid w:val="00E017EB"/>
    <w:rsid w:val="00E04C28"/>
    <w:rsid w:val="00E05501"/>
    <w:rsid w:val="00E124CB"/>
    <w:rsid w:val="00E13DE8"/>
    <w:rsid w:val="00E14342"/>
    <w:rsid w:val="00E1473E"/>
    <w:rsid w:val="00E21B72"/>
    <w:rsid w:val="00E271D7"/>
    <w:rsid w:val="00E30828"/>
    <w:rsid w:val="00E3276C"/>
    <w:rsid w:val="00E32AF5"/>
    <w:rsid w:val="00E33D19"/>
    <w:rsid w:val="00E34855"/>
    <w:rsid w:val="00E34CB6"/>
    <w:rsid w:val="00E36530"/>
    <w:rsid w:val="00E40A1B"/>
    <w:rsid w:val="00E40C52"/>
    <w:rsid w:val="00E41EBB"/>
    <w:rsid w:val="00E42C80"/>
    <w:rsid w:val="00E47917"/>
    <w:rsid w:val="00E542B5"/>
    <w:rsid w:val="00E6503B"/>
    <w:rsid w:val="00E736E4"/>
    <w:rsid w:val="00E74524"/>
    <w:rsid w:val="00E75110"/>
    <w:rsid w:val="00E75EEE"/>
    <w:rsid w:val="00E80535"/>
    <w:rsid w:val="00E816C0"/>
    <w:rsid w:val="00E85E8B"/>
    <w:rsid w:val="00E87556"/>
    <w:rsid w:val="00E978DD"/>
    <w:rsid w:val="00EA648B"/>
    <w:rsid w:val="00EA6921"/>
    <w:rsid w:val="00EA71F0"/>
    <w:rsid w:val="00EA79A1"/>
    <w:rsid w:val="00EA7C82"/>
    <w:rsid w:val="00EB0649"/>
    <w:rsid w:val="00EB07F4"/>
    <w:rsid w:val="00EB7DBF"/>
    <w:rsid w:val="00EC1105"/>
    <w:rsid w:val="00EC19FB"/>
    <w:rsid w:val="00EC1A19"/>
    <w:rsid w:val="00EC7BAB"/>
    <w:rsid w:val="00EC7ED5"/>
    <w:rsid w:val="00ED03A0"/>
    <w:rsid w:val="00ED4F86"/>
    <w:rsid w:val="00EE34BB"/>
    <w:rsid w:val="00EF1A17"/>
    <w:rsid w:val="00EF1D64"/>
    <w:rsid w:val="00EF1E9D"/>
    <w:rsid w:val="00EF2E08"/>
    <w:rsid w:val="00F07CDD"/>
    <w:rsid w:val="00F10F79"/>
    <w:rsid w:val="00F160DE"/>
    <w:rsid w:val="00F17423"/>
    <w:rsid w:val="00F2362C"/>
    <w:rsid w:val="00F27FAD"/>
    <w:rsid w:val="00F420AB"/>
    <w:rsid w:val="00F454AE"/>
    <w:rsid w:val="00F45ECC"/>
    <w:rsid w:val="00F4786F"/>
    <w:rsid w:val="00F50EF8"/>
    <w:rsid w:val="00F53829"/>
    <w:rsid w:val="00F57388"/>
    <w:rsid w:val="00F670AF"/>
    <w:rsid w:val="00F708A6"/>
    <w:rsid w:val="00F7586A"/>
    <w:rsid w:val="00F775FD"/>
    <w:rsid w:val="00F778AA"/>
    <w:rsid w:val="00F80E15"/>
    <w:rsid w:val="00F86683"/>
    <w:rsid w:val="00F86A85"/>
    <w:rsid w:val="00F9021C"/>
    <w:rsid w:val="00F94E56"/>
    <w:rsid w:val="00FA2711"/>
    <w:rsid w:val="00FB0154"/>
    <w:rsid w:val="00FB20DE"/>
    <w:rsid w:val="00FB28B6"/>
    <w:rsid w:val="00FB35C2"/>
    <w:rsid w:val="00FB3AE9"/>
    <w:rsid w:val="00FC056E"/>
    <w:rsid w:val="00FC10C6"/>
    <w:rsid w:val="00FC27D1"/>
    <w:rsid w:val="00FC3AD3"/>
    <w:rsid w:val="00FC5FBC"/>
    <w:rsid w:val="00FD08C5"/>
    <w:rsid w:val="00FD519A"/>
    <w:rsid w:val="00FD5452"/>
    <w:rsid w:val="00FD67ED"/>
    <w:rsid w:val="00FD74F2"/>
    <w:rsid w:val="00FD770B"/>
    <w:rsid w:val="00FD7B61"/>
    <w:rsid w:val="00FE3A70"/>
    <w:rsid w:val="00FE3D95"/>
    <w:rsid w:val="00FE77EB"/>
    <w:rsid w:val="00FE79F0"/>
    <w:rsid w:val="00FE7B51"/>
    <w:rsid w:val="00FF337B"/>
    <w:rsid w:val="00FF45CF"/>
    <w:rsid w:val="00FF4E05"/>
    <w:rsid w:val="00FF5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50"/>
    <w:rPr>
      <w:sz w:val="22"/>
    </w:rPr>
  </w:style>
  <w:style w:type="paragraph" w:styleId="Rubrik1">
    <w:name w:val="heading 1"/>
    <w:aliases w:val="KTH Rubrik 1"/>
    <w:basedOn w:val="Normal"/>
    <w:next w:val="Brdtext"/>
    <w:link w:val="Rubrik1Char"/>
    <w:uiPriority w:val="3"/>
    <w:qFormat/>
    <w:rsid w:val="004423FB"/>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4423FB"/>
    <w:pPr>
      <w:keepNext/>
      <w:keepLines/>
      <w:spacing w:before="240" w:after="60" w:line="260" w:lineRule="atLeast"/>
      <w:outlineLvl w:val="2"/>
    </w:pPr>
    <w:rPr>
      <w:rFonts w:eastAsiaTheme="majorEastAsia" w:cstheme="majorBidi"/>
      <w:b/>
      <w:bCs/>
      <w:sz w:val="24"/>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6"/>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6"/>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4423FB"/>
    <w:pPr>
      <w:spacing w:after="240" w:line="260" w:lineRule="atLeast"/>
    </w:pPr>
  </w:style>
  <w:style w:type="character" w:customStyle="1" w:styleId="BrdtextChar">
    <w:name w:val="Brödtext Char"/>
    <w:aliases w:val="KTH Brödtext Char"/>
    <w:basedOn w:val="Standardstycketeckensnitt"/>
    <w:link w:val="Brdtext"/>
    <w:uiPriority w:val="1"/>
    <w:rsid w:val="004423FB"/>
    <w:rPr>
      <w:sz w:val="22"/>
    </w:rPr>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4423FB"/>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4423FB"/>
    <w:rPr>
      <w:rFonts w:eastAsiaTheme="majorEastAsia" w:cstheme="majorBidi"/>
      <w:b/>
      <w:bCs/>
      <w:sz w:val="24"/>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5"/>
      </w:numPr>
      <w:contextualSpacing/>
    </w:pPr>
  </w:style>
  <w:style w:type="paragraph" w:styleId="Punktlista2">
    <w:name w:val="List Bullet 2"/>
    <w:aliases w:val="KTH Punktlista 2"/>
    <w:basedOn w:val="Normal"/>
    <w:uiPriority w:val="99"/>
    <w:semiHidden/>
    <w:rsid w:val="003D5E50"/>
    <w:pPr>
      <w:numPr>
        <w:numId w:val="3"/>
      </w:numPr>
      <w:contextualSpacing/>
    </w:p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sz w:val="22"/>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sz w:val="22"/>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sz w:val="22"/>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sz w:val="22"/>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Ballongtext">
    <w:name w:val="Balloon Text"/>
    <w:basedOn w:val="Normal"/>
    <w:link w:val="BallongtextChar"/>
    <w:uiPriority w:val="99"/>
    <w:semiHidden/>
    <w:unhideWhenUsed/>
    <w:rsid w:val="000518F2"/>
    <w:rPr>
      <w:rFonts w:ascii="Tahoma" w:hAnsi="Tahoma" w:cs="Tahoma"/>
      <w:sz w:val="16"/>
      <w:szCs w:val="16"/>
    </w:rPr>
  </w:style>
  <w:style w:type="character" w:customStyle="1" w:styleId="BallongtextChar">
    <w:name w:val="Ballongtext Char"/>
    <w:basedOn w:val="Standardstycketeckensnitt"/>
    <w:link w:val="Ballongtext"/>
    <w:uiPriority w:val="99"/>
    <w:semiHidden/>
    <w:rsid w:val="000518F2"/>
    <w:rPr>
      <w:rFonts w:ascii="Tahoma" w:hAnsi="Tahoma" w:cs="Tahoma"/>
      <w:sz w:val="16"/>
      <w:szCs w:val="16"/>
    </w:rPr>
  </w:style>
  <w:style w:type="paragraph" w:styleId="Liststycke">
    <w:name w:val="List Paragraph"/>
    <w:basedOn w:val="Normal"/>
    <w:uiPriority w:val="34"/>
    <w:qFormat/>
    <w:rsid w:val="000518F2"/>
    <w:pPr>
      <w:spacing w:after="200" w:line="276" w:lineRule="auto"/>
      <w:ind w:left="720"/>
      <w:contextualSpacing/>
    </w:pPr>
    <w:rPr>
      <w:rFonts w:ascii="Calibri" w:hAnsi="Calibri" w:cs="Times New Roman"/>
      <w:szCs w:val="22"/>
    </w:rPr>
  </w:style>
  <w:style w:type="paragraph" w:styleId="Fotnotstext">
    <w:name w:val="footnote text"/>
    <w:basedOn w:val="Normal"/>
    <w:link w:val="FotnotstextChar"/>
    <w:uiPriority w:val="99"/>
    <w:semiHidden/>
    <w:unhideWhenUsed/>
    <w:rsid w:val="005B6078"/>
  </w:style>
  <w:style w:type="character" w:customStyle="1" w:styleId="FotnotstextChar">
    <w:name w:val="Fotnotstext Char"/>
    <w:basedOn w:val="Standardstycketeckensnitt"/>
    <w:link w:val="Fotnotstext"/>
    <w:uiPriority w:val="99"/>
    <w:semiHidden/>
    <w:rsid w:val="005B6078"/>
  </w:style>
  <w:style w:type="character" w:styleId="Fotnotsreferens">
    <w:name w:val="footnote reference"/>
    <w:basedOn w:val="Standardstycketeckensnitt"/>
    <w:uiPriority w:val="99"/>
    <w:semiHidden/>
    <w:unhideWhenUsed/>
    <w:rsid w:val="005B6078"/>
    <w:rPr>
      <w:vertAlign w:val="superscript"/>
    </w:rPr>
  </w:style>
  <w:style w:type="table" w:styleId="Tabellrutnt">
    <w:name w:val="Table Grid"/>
    <w:basedOn w:val="Normaltabell"/>
    <w:uiPriority w:val="59"/>
    <w:rsid w:val="00EC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C3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2986">
      <w:bodyDiv w:val="1"/>
      <w:marLeft w:val="0"/>
      <w:marRight w:val="0"/>
      <w:marTop w:val="0"/>
      <w:marBottom w:val="0"/>
      <w:divBdr>
        <w:top w:val="none" w:sz="0" w:space="0" w:color="auto"/>
        <w:left w:val="none" w:sz="0" w:space="0" w:color="auto"/>
        <w:bottom w:val="none" w:sz="0" w:space="0" w:color="auto"/>
        <w:right w:val="none" w:sz="0" w:space="0" w:color="auto"/>
      </w:divBdr>
    </w:div>
    <w:div w:id="1257707434">
      <w:bodyDiv w:val="1"/>
      <w:marLeft w:val="0"/>
      <w:marRight w:val="0"/>
      <w:marTop w:val="0"/>
      <w:marBottom w:val="0"/>
      <w:divBdr>
        <w:top w:val="none" w:sz="0" w:space="0" w:color="auto"/>
        <w:left w:val="none" w:sz="0" w:space="0" w:color="auto"/>
        <w:bottom w:val="none" w:sz="0" w:space="0" w:color="auto"/>
        <w:right w:val="none" w:sz="0" w:space="0" w:color="auto"/>
      </w:divBdr>
      <w:divsChild>
        <w:div w:id="969088463">
          <w:marLeft w:val="547"/>
          <w:marRight w:val="0"/>
          <w:marTop w:val="58"/>
          <w:marBottom w:val="0"/>
          <w:divBdr>
            <w:top w:val="none" w:sz="0" w:space="0" w:color="auto"/>
            <w:left w:val="none" w:sz="0" w:space="0" w:color="auto"/>
            <w:bottom w:val="none" w:sz="0" w:space="0" w:color="auto"/>
            <w:right w:val="none" w:sz="0" w:space="0" w:color="auto"/>
          </w:divBdr>
        </w:div>
        <w:div w:id="377978860">
          <w:marLeft w:val="547"/>
          <w:marRight w:val="0"/>
          <w:marTop w:val="58"/>
          <w:marBottom w:val="0"/>
          <w:divBdr>
            <w:top w:val="none" w:sz="0" w:space="0" w:color="auto"/>
            <w:left w:val="none" w:sz="0" w:space="0" w:color="auto"/>
            <w:bottom w:val="none" w:sz="0" w:space="0" w:color="auto"/>
            <w:right w:val="none" w:sz="0" w:space="0" w:color="auto"/>
          </w:divBdr>
        </w:div>
        <w:div w:id="1078668630">
          <w:marLeft w:val="547"/>
          <w:marRight w:val="0"/>
          <w:marTop w:val="58"/>
          <w:marBottom w:val="0"/>
          <w:divBdr>
            <w:top w:val="none" w:sz="0" w:space="0" w:color="auto"/>
            <w:left w:val="none" w:sz="0" w:space="0" w:color="auto"/>
            <w:bottom w:val="none" w:sz="0" w:space="0" w:color="auto"/>
            <w:right w:val="none" w:sz="0" w:space="0" w:color="auto"/>
          </w:divBdr>
        </w:div>
        <w:div w:id="37095708">
          <w:marLeft w:val="547"/>
          <w:marRight w:val="0"/>
          <w:marTop w:val="58"/>
          <w:marBottom w:val="0"/>
          <w:divBdr>
            <w:top w:val="none" w:sz="0" w:space="0" w:color="auto"/>
            <w:left w:val="none" w:sz="0" w:space="0" w:color="auto"/>
            <w:bottom w:val="none" w:sz="0" w:space="0" w:color="auto"/>
            <w:right w:val="none" w:sz="0" w:space="0" w:color="auto"/>
          </w:divBdr>
        </w:div>
        <w:div w:id="888538932">
          <w:marLeft w:val="547"/>
          <w:marRight w:val="0"/>
          <w:marTop w:val="58"/>
          <w:marBottom w:val="0"/>
          <w:divBdr>
            <w:top w:val="none" w:sz="0" w:space="0" w:color="auto"/>
            <w:left w:val="none" w:sz="0" w:space="0" w:color="auto"/>
            <w:bottom w:val="none" w:sz="0" w:space="0" w:color="auto"/>
            <w:right w:val="none" w:sz="0" w:space="0" w:color="auto"/>
          </w:divBdr>
        </w:div>
        <w:div w:id="1923875412">
          <w:marLeft w:val="547"/>
          <w:marRight w:val="0"/>
          <w:marTop w:val="58"/>
          <w:marBottom w:val="0"/>
          <w:divBdr>
            <w:top w:val="none" w:sz="0" w:space="0" w:color="auto"/>
            <w:left w:val="none" w:sz="0" w:space="0" w:color="auto"/>
            <w:bottom w:val="none" w:sz="0" w:space="0" w:color="auto"/>
            <w:right w:val="none" w:sz="0" w:space="0" w:color="auto"/>
          </w:divBdr>
        </w:div>
        <w:div w:id="148402384">
          <w:marLeft w:val="547"/>
          <w:marRight w:val="0"/>
          <w:marTop w:val="58"/>
          <w:marBottom w:val="0"/>
          <w:divBdr>
            <w:top w:val="none" w:sz="0" w:space="0" w:color="auto"/>
            <w:left w:val="none" w:sz="0" w:space="0" w:color="auto"/>
            <w:bottom w:val="none" w:sz="0" w:space="0" w:color="auto"/>
            <w:right w:val="none" w:sz="0" w:space="0" w:color="auto"/>
          </w:divBdr>
        </w:div>
        <w:div w:id="949706704">
          <w:marLeft w:val="547"/>
          <w:marRight w:val="0"/>
          <w:marTop w:val="58"/>
          <w:marBottom w:val="0"/>
          <w:divBdr>
            <w:top w:val="none" w:sz="0" w:space="0" w:color="auto"/>
            <w:left w:val="none" w:sz="0" w:space="0" w:color="auto"/>
            <w:bottom w:val="none" w:sz="0" w:space="0" w:color="auto"/>
            <w:right w:val="none" w:sz="0" w:space="0" w:color="auto"/>
          </w:divBdr>
        </w:div>
      </w:divsChild>
    </w:div>
    <w:div w:id="1334801777">
      <w:bodyDiv w:val="1"/>
      <w:marLeft w:val="0"/>
      <w:marRight w:val="0"/>
      <w:marTop w:val="0"/>
      <w:marBottom w:val="0"/>
      <w:divBdr>
        <w:top w:val="none" w:sz="0" w:space="0" w:color="auto"/>
        <w:left w:val="none" w:sz="0" w:space="0" w:color="auto"/>
        <w:bottom w:val="none" w:sz="0" w:space="0" w:color="auto"/>
        <w:right w:val="none" w:sz="0" w:space="0" w:color="auto"/>
      </w:divBdr>
    </w:div>
    <w:div w:id="1437367608">
      <w:bodyDiv w:val="1"/>
      <w:marLeft w:val="0"/>
      <w:marRight w:val="0"/>
      <w:marTop w:val="0"/>
      <w:marBottom w:val="0"/>
      <w:divBdr>
        <w:top w:val="none" w:sz="0" w:space="0" w:color="auto"/>
        <w:left w:val="none" w:sz="0" w:space="0" w:color="auto"/>
        <w:bottom w:val="none" w:sz="0" w:space="0" w:color="auto"/>
        <w:right w:val="none" w:sz="0" w:space="0" w:color="auto"/>
      </w:divBdr>
      <w:divsChild>
        <w:div w:id="772214087">
          <w:marLeft w:val="547"/>
          <w:marRight w:val="0"/>
          <w:marTop w:val="58"/>
          <w:marBottom w:val="0"/>
          <w:divBdr>
            <w:top w:val="none" w:sz="0" w:space="0" w:color="auto"/>
            <w:left w:val="none" w:sz="0" w:space="0" w:color="auto"/>
            <w:bottom w:val="none" w:sz="0" w:space="0" w:color="auto"/>
            <w:right w:val="none" w:sz="0" w:space="0" w:color="auto"/>
          </w:divBdr>
        </w:div>
        <w:div w:id="428694469">
          <w:marLeft w:val="547"/>
          <w:marRight w:val="0"/>
          <w:marTop w:val="58"/>
          <w:marBottom w:val="0"/>
          <w:divBdr>
            <w:top w:val="none" w:sz="0" w:space="0" w:color="auto"/>
            <w:left w:val="none" w:sz="0" w:space="0" w:color="auto"/>
            <w:bottom w:val="none" w:sz="0" w:space="0" w:color="auto"/>
            <w:right w:val="none" w:sz="0" w:space="0" w:color="auto"/>
          </w:divBdr>
        </w:div>
        <w:div w:id="274603130">
          <w:marLeft w:val="547"/>
          <w:marRight w:val="0"/>
          <w:marTop w:val="58"/>
          <w:marBottom w:val="0"/>
          <w:divBdr>
            <w:top w:val="none" w:sz="0" w:space="0" w:color="auto"/>
            <w:left w:val="none" w:sz="0" w:space="0" w:color="auto"/>
            <w:bottom w:val="none" w:sz="0" w:space="0" w:color="auto"/>
            <w:right w:val="none" w:sz="0" w:space="0" w:color="auto"/>
          </w:divBdr>
        </w:div>
        <w:div w:id="1601523204">
          <w:marLeft w:val="547"/>
          <w:marRight w:val="0"/>
          <w:marTop w:val="58"/>
          <w:marBottom w:val="0"/>
          <w:divBdr>
            <w:top w:val="none" w:sz="0" w:space="0" w:color="auto"/>
            <w:left w:val="none" w:sz="0" w:space="0" w:color="auto"/>
            <w:bottom w:val="none" w:sz="0" w:space="0" w:color="auto"/>
            <w:right w:val="none" w:sz="0" w:space="0" w:color="auto"/>
          </w:divBdr>
        </w:div>
        <w:div w:id="863591057">
          <w:marLeft w:val="547"/>
          <w:marRight w:val="0"/>
          <w:marTop w:val="58"/>
          <w:marBottom w:val="0"/>
          <w:divBdr>
            <w:top w:val="none" w:sz="0" w:space="0" w:color="auto"/>
            <w:left w:val="none" w:sz="0" w:space="0" w:color="auto"/>
            <w:bottom w:val="none" w:sz="0" w:space="0" w:color="auto"/>
            <w:right w:val="none" w:sz="0" w:space="0" w:color="auto"/>
          </w:divBdr>
        </w:div>
        <w:div w:id="1718703460">
          <w:marLeft w:val="547"/>
          <w:marRight w:val="0"/>
          <w:marTop w:val="58"/>
          <w:marBottom w:val="0"/>
          <w:divBdr>
            <w:top w:val="none" w:sz="0" w:space="0" w:color="auto"/>
            <w:left w:val="none" w:sz="0" w:space="0" w:color="auto"/>
            <w:bottom w:val="none" w:sz="0" w:space="0" w:color="auto"/>
            <w:right w:val="none" w:sz="0" w:space="0" w:color="auto"/>
          </w:divBdr>
        </w:div>
        <w:div w:id="1690716102">
          <w:marLeft w:val="547"/>
          <w:marRight w:val="0"/>
          <w:marTop w:val="58"/>
          <w:marBottom w:val="0"/>
          <w:divBdr>
            <w:top w:val="none" w:sz="0" w:space="0" w:color="auto"/>
            <w:left w:val="none" w:sz="0" w:space="0" w:color="auto"/>
            <w:bottom w:val="none" w:sz="0" w:space="0" w:color="auto"/>
            <w:right w:val="none" w:sz="0" w:space="0" w:color="auto"/>
          </w:divBdr>
        </w:div>
        <w:div w:id="1785684771">
          <w:marLeft w:val="547"/>
          <w:marRight w:val="0"/>
          <w:marTop w:val="58"/>
          <w:marBottom w:val="0"/>
          <w:divBdr>
            <w:top w:val="none" w:sz="0" w:space="0" w:color="auto"/>
            <w:left w:val="none" w:sz="0" w:space="0" w:color="auto"/>
            <w:bottom w:val="none" w:sz="0" w:space="0" w:color="auto"/>
            <w:right w:val="none" w:sz="0" w:space="0" w:color="auto"/>
          </w:divBdr>
        </w:div>
      </w:divsChild>
    </w:div>
    <w:div w:id="1696036856">
      <w:bodyDiv w:val="1"/>
      <w:marLeft w:val="0"/>
      <w:marRight w:val="0"/>
      <w:marTop w:val="0"/>
      <w:marBottom w:val="0"/>
      <w:divBdr>
        <w:top w:val="none" w:sz="0" w:space="0" w:color="auto"/>
        <w:left w:val="none" w:sz="0" w:space="0" w:color="auto"/>
        <w:bottom w:val="none" w:sz="0" w:space="0" w:color="auto"/>
        <w:right w:val="none" w:sz="0" w:space="0" w:color="auto"/>
      </w:divBdr>
      <w:divsChild>
        <w:div w:id="58211108">
          <w:marLeft w:val="547"/>
          <w:marRight w:val="0"/>
          <w:marTop w:val="96"/>
          <w:marBottom w:val="0"/>
          <w:divBdr>
            <w:top w:val="none" w:sz="0" w:space="0" w:color="auto"/>
            <w:left w:val="none" w:sz="0" w:space="0" w:color="auto"/>
            <w:bottom w:val="none" w:sz="0" w:space="0" w:color="auto"/>
            <w:right w:val="none" w:sz="0" w:space="0" w:color="auto"/>
          </w:divBdr>
        </w:div>
      </w:divsChild>
    </w:div>
    <w:div w:id="2037072267">
      <w:bodyDiv w:val="1"/>
      <w:marLeft w:val="0"/>
      <w:marRight w:val="0"/>
      <w:marTop w:val="0"/>
      <w:marBottom w:val="0"/>
      <w:divBdr>
        <w:top w:val="none" w:sz="0" w:space="0" w:color="auto"/>
        <w:left w:val="none" w:sz="0" w:space="0" w:color="auto"/>
        <w:bottom w:val="none" w:sz="0" w:space="0" w:color="auto"/>
        <w:right w:val="none" w:sz="0" w:space="0" w:color="auto"/>
      </w:divBdr>
      <w:divsChild>
        <w:div w:id="1718705268">
          <w:marLeft w:val="547"/>
          <w:marRight w:val="0"/>
          <w:marTop w:val="58"/>
          <w:marBottom w:val="0"/>
          <w:divBdr>
            <w:top w:val="none" w:sz="0" w:space="0" w:color="auto"/>
            <w:left w:val="none" w:sz="0" w:space="0" w:color="auto"/>
            <w:bottom w:val="none" w:sz="0" w:space="0" w:color="auto"/>
            <w:right w:val="none" w:sz="0" w:space="0" w:color="auto"/>
          </w:divBdr>
        </w:div>
        <w:div w:id="1280651110">
          <w:marLeft w:val="547"/>
          <w:marRight w:val="0"/>
          <w:marTop w:val="58"/>
          <w:marBottom w:val="0"/>
          <w:divBdr>
            <w:top w:val="none" w:sz="0" w:space="0" w:color="auto"/>
            <w:left w:val="none" w:sz="0" w:space="0" w:color="auto"/>
            <w:bottom w:val="none" w:sz="0" w:space="0" w:color="auto"/>
            <w:right w:val="none" w:sz="0" w:space="0" w:color="auto"/>
          </w:divBdr>
        </w:div>
        <w:div w:id="1564100807">
          <w:marLeft w:val="547"/>
          <w:marRight w:val="0"/>
          <w:marTop w:val="58"/>
          <w:marBottom w:val="0"/>
          <w:divBdr>
            <w:top w:val="none" w:sz="0" w:space="0" w:color="auto"/>
            <w:left w:val="none" w:sz="0" w:space="0" w:color="auto"/>
            <w:bottom w:val="none" w:sz="0" w:space="0" w:color="auto"/>
            <w:right w:val="none" w:sz="0" w:space="0" w:color="auto"/>
          </w:divBdr>
        </w:div>
        <w:div w:id="371425235">
          <w:marLeft w:val="547"/>
          <w:marRight w:val="0"/>
          <w:marTop w:val="58"/>
          <w:marBottom w:val="0"/>
          <w:divBdr>
            <w:top w:val="none" w:sz="0" w:space="0" w:color="auto"/>
            <w:left w:val="none" w:sz="0" w:space="0" w:color="auto"/>
            <w:bottom w:val="none" w:sz="0" w:space="0" w:color="auto"/>
            <w:right w:val="none" w:sz="0" w:space="0" w:color="auto"/>
          </w:divBdr>
        </w:div>
        <w:div w:id="1420446396">
          <w:marLeft w:val="547"/>
          <w:marRight w:val="0"/>
          <w:marTop w:val="58"/>
          <w:marBottom w:val="0"/>
          <w:divBdr>
            <w:top w:val="none" w:sz="0" w:space="0" w:color="auto"/>
            <w:left w:val="none" w:sz="0" w:space="0" w:color="auto"/>
            <w:bottom w:val="none" w:sz="0" w:space="0" w:color="auto"/>
            <w:right w:val="none" w:sz="0" w:space="0" w:color="auto"/>
          </w:divBdr>
        </w:div>
        <w:div w:id="1869373299">
          <w:marLeft w:val="547"/>
          <w:marRight w:val="0"/>
          <w:marTop w:val="58"/>
          <w:marBottom w:val="0"/>
          <w:divBdr>
            <w:top w:val="none" w:sz="0" w:space="0" w:color="auto"/>
            <w:left w:val="none" w:sz="0" w:space="0" w:color="auto"/>
            <w:bottom w:val="none" w:sz="0" w:space="0" w:color="auto"/>
            <w:right w:val="none" w:sz="0" w:space="0" w:color="auto"/>
          </w:divBdr>
        </w:div>
        <w:div w:id="207379479">
          <w:marLeft w:val="547"/>
          <w:marRight w:val="0"/>
          <w:marTop w:val="58"/>
          <w:marBottom w:val="0"/>
          <w:divBdr>
            <w:top w:val="none" w:sz="0" w:space="0" w:color="auto"/>
            <w:left w:val="none" w:sz="0" w:space="0" w:color="auto"/>
            <w:bottom w:val="none" w:sz="0" w:space="0" w:color="auto"/>
            <w:right w:val="none" w:sz="0" w:space="0" w:color="auto"/>
          </w:divBdr>
        </w:div>
        <w:div w:id="1509061373">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27FC-80D1-41E1-A5E0-02CCE476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9584</Words>
  <Characters>50801</Characters>
  <Application>Microsoft Office Word</Application>
  <DocSecurity>0</DocSecurity>
  <Lines>423</Lines>
  <Paragraphs>120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60265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2020-10-05T14:24:00Z</dcterms:created>
  <dcterms:modified xsi:type="dcterms:W3CDTF">2020-10-13T07:43:00Z</dcterms:modified>
</cp:coreProperties>
</file>