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0A" w:rsidRPr="00C860A1" w:rsidRDefault="00232A0A" w:rsidP="00232A0A">
      <w:pPr>
        <w:pStyle w:val="Default"/>
        <w:rPr>
          <w:rFonts w:asciiTheme="minorHAnsi" w:hAnsiTheme="minorHAnsi" w:cstheme="minorBidi"/>
          <w:b/>
          <w:color w:val="auto"/>
          <w:sz w:val="20"/>
          <w:szCs w:val="20"/>
          <w:lang w:val="en-US"/>
        </w:rPr>
      </w:pPr>
      <w:r w:rsidRPr="00C860A1">
        <w:rPr>
          <w:rFonts w:asciiTheme="minorHAnsi" w:hAnsiTheme="minorHAnsi" w:cstheme="minorBidi"/>
          <w:b/>
          <w:color w:val="auto"/>
          <w:sz w:val="20"/>
          <w:szCs w:val="20"/>
          <w:lang w:val="en-US"/>
        </w:rPr>
        <w:t>Criteria for KTH Research Infrastructures</w:t>
      </w:r>
    </w:p>
    <w:p w:rsidR="00232A0A" w:rsidRPr="00C860A1" w:rsidRDefault="00232A0A" w:rsidP="00232A0A">
      <w:pPr>
        <w:pStyle w:val="Default"/>
        <w:rPr>
          <w:rFonts w:asciiTheme="minorHAnsi" w:hAnsiTheme="minorHAnsi" w:cstheme="minorBidi"/>
          <w:b/>
          <w:color w:val="auto"/>
          <w:sz w:val="20"/>
          <w:szCs w:val="20"/>
          <w:lang w:val="en-US"/>
        </w:rPr>
      </w:pPr>
    </w:p>
    <w:p w:rsidR="00232A0A" w:rsidRPr="00C860A1" w:rsidRDefault="00232A0A" w:rsidP="00232A0A">
      <w:pPr>
        <w:pStyle w:val="Default"/>
        <w:rPr>
          <w:lang w:val="en-US"/>
        </w:rPr>
      </w:pPr>
    </w:p>
    <w:p w:rsidR="00232A0A" w:rsidRPr="00C860A1" w:rsidRDefault="00232A0A" w:rsidP="00232A0A">
      <w:pPr>
        <w:pStyle w:val="Default"/>
        <w:rPr>
          <w:sz w:val="20"/>
          <w:szCs w:val="20"/>
          <w:lang w:val="en-US"/>
        </w:rPr>
      </w:pPr>
      <w:r w:rsidRPr="00C860A1">
        <w:rPr>
          <w:b/>
          <w:bCs/>
          <w:sz w:val="20"/>
          <w:szCs w:val="20"/>
          <w:lang w:val="en-US"/>
        </w:rPr>
        <w:t xml:space="preserve">STRATEGIC, USED BY MANY AND INCLUSIVE </w:t>
      </w:r>
    </w:p>
    <w:p w:rsidR="00232A0A" w:rsidRPr="00C860A1" w:rsidRDefault="00232A0A" w:rsidP="00232A0A">
      <w:pPr>
        <w:pStyle w:val="Default"/>
        <w:rPr>
          <w:sz w:val="20"/>
          <w:szCs w:val="20"/>
          <w:lang w:val="en-US"/>
        </w:rPr>
      </w:pPr>
    </w:p>
    <w:p w:rsidR="00232A0A" w:rsidRPr="00C860A1" w:rsidRDefault="00232A0A" w:rsidP="00232A0A">
      <w:pPr>
        <w:pStyle w:val="Default"/>
        <w:rPr>
          <w:rFonts w:asciiTheme="minorHAnsi" w:hAnsiTheme="minorHAnsi" w:cstheme="minorBidi"/>
          <w:color w:val="auto"/>
          <w:sz w:val="20"/>
          <w:szCs w:val="20"/>
          <w:lang w:val="en-US"/>
        </w:rPr>
      </w:pPr>
      <w:r w:rsidRPr="00C860A1">
        <w:rPr>
          <w:rFonts w:asciiTheme="minorHAnsi" w:hAnsiTheme="minorHAnsi" w:cstheme="minorBidi"/>
          <w:color w:val="auto"/>
          <w:sz w:val="20"/>
          <w:szCs w:val="20"/>
          <w:lang w:val="en-US"/>
        </w:rPr>
        <w:t xml:space="preserve">Criteria 1: Be of strategic interest for KTH, with a clear vision, purpose and focus. </w:t>
      </w:r>
    </w:p>
    <w:p w:rsidR="00232A0A" w:rsidRPr="00C860A1" w:rsidRDefault="00232A0A" w:rsidP="00232A0A">
      <w:pPr>
        <w:pStyle w:val="Default"/>
        <w:rPr>
          <w:sz w:val="20"/>
          <w:szCs w:val="20"/>
          <w:lang w:val="en-US"/>
        </w:rPr>
      </w:pPr>
      <w:r w:rsidRPr="00C860A1">
        <w:rPr>
          <w:i/>
          <w:iCs/>
          <w:sz w:val="20"/>
          <w:szCs w:val="20"/>
          <w:lang w:val="en-US"/>
        </w:rPr>
        <w:t xml:space="preserve">Discuss scientific as well as industrial relevance. Discuss shortly potential development strategies and possible needs. </w:t>
      </w:r>
    </w:p>
    <w:p w:rsidR="00232A0A" w:rsidRPr="00C860A1" w:rsidRDefault="00232A0A" w:rsidP="00232A0A">
      <w:pPr>
        <w:pStyle w:val="Default"/>
        <w:rPr>
          <w:sz w:val="20"/>
          <w:szCs w:val="20"/>
          <w:lang w:val="en-US"/>
        </w:rPr>
      </w:pPr>
    </w:p>
    <w:p w:rsidR="00232A0A" w:rsidRPr="00C860A1" w:rsidRDefault="00232A0A" w:rsidP="00232A0A">
      <w:pPr>
        <w:pStyle w:val="Default"/>
        <w:rPr>
          <w:sz w:val="20"/>
          <w:szCs w:val="20"/>
          <w:lang w:val="en-US"/>
        </w:rPr>
      </w:pPr>
      <w:r w:rsidRPr="00C860A1">
        <w:rPr>
          <w:sz w:val="20"/>
          <w:szCs w:val="20"/>
          <w:lang w:val="en-US"/>
        </w:rPr>
        <w:t xml:space="preserve">Criteria 2: Have a broad user base and be of interest for and used by several research groups at KTH. </w:t>
      </w:r>
    </w:p>
    <w:p w:rsidR="00232A0A" w:rsidRPr="00C860A1" w:rsidRDefault="00232A0A" w:rsidP="00232A0A">
      <w:pPr>
        <w:pStyle w:val="Default"/>
        <w:rPr>
          <w:i/>
          <w:iCs/>
          <w:sz w:val="20"/>
          <w:szCs w:val="20"/>
          <w:lang w:val="en-US"/>
        </w:rPr>
      </w:pPr>
      <w:r w:rsidRPr="00C860A1">
        <w:rPr>
          <w:i/>
          <w:iCs/>
          <w:sz w:val="20"/>
          <w:szCs w:val="20"/>
          <w:lang w:val="en-US"/>
        </w:rPr>
        <w:t xml:space="preserve">Summarize users today and estimated users (both internal and external) when support is developed. </w:t>
      </w:r>
    </w:p>
    <w:p w:rsidR="00232A0A" w:rsidRPr="00C860A1" w:rsidRDefault="00232A0A" w:rsidP="00232A0A">
      <w:pPr>
        <w:pStyle w:val="Default"/>
        <w:rPr>
          <w:i/>
          <w:iCs/>
          <w:sz w:val="20"/>
          <w:szCs w:val="20"/>
          <w:lang w:val="en-US"/>
        </w:rPr>
      </w:pPr>
    </w:p>
    <w:p w:rsidR="00232A0A" w:rsidRPr="00C860A1" w:rsidRDefault="00232A0A" w:rsidP="00232A0A">
      <w:pPr>
        <w:pStyle w:val="Default"/>
        <w:rPr>
          <w:sz w:val="20"/>
          <w:szCs w:val="20"/>
          <w:lang w:val="en-US"/>
        </w:rPr>
      </w:pPr>
      <w:r w:rsidRPr="00C860A1">
        <w:rPr>
          <w:sz w:val="20"/>
          <w:szCs w:val="20"/>
          <w:lang w:val="en-US"/>
        </w:rPr>
        <w:t xml:space="preserve">Criteria 3: All researchers at KTH </w:t>
      </w:r>
      <w:proofErr w:type="gramStart"/>
      <w:r w:rsidRPr="00C860A1">
        <w:rPr>
          <w:sz w:val="20"/>
          <w:szCs w:val="20"/>
          <w:lang w:val="en-US"/>
        </w:rPr>
        <w:t>must be treated</w:t>
      </w:r>
      <w:proofErr w:type="gramEnd"/>
      <w:r w:rsidRPr="00C860A1">
        <w:rPr>
          <w:sz w:val="20"/>
          <w:szCs w:val="20"/>
          <w:lang w:val="en-US"/>
        </w:rPr>
        <w:t xml:space="preserve"> equally with respect to access, user fees and conditions to the research infrastructure. To achieve this, use of digitalized internal billing systems working well with funding bodies, for example LIMS, should be an ambition. </w:t>
      </w:r>
    </w:p>
    <w:p w:rsidR="00232A0A" w:rsidRPr="00C860A1" w:rsidRDefault="00232A0A" w:rsidP="00232A0A">
      <w:pPr>
        <w:pStyle w:val="Default"/>
        <w:rPr>
          <w:sz w:val="20"/>
          <w:szCs w:val="20"/>
          <w:lang w:val="en-US"/>
        </w:rPr>
      </w:pPr>
      <w:r w:rsidRPr="00C860A1">
        <w:rPr>
          <w:i/>
          <w:iCs/>
          <w:sz w:val="20"/>
          <w:szCs w:val="20"/>
          <w:lang w:val="en-US"/>
        </w:rPr>
        <w:t xml:space="preserve">Please address these issues for your research infrastructure. Specify </w:t>
      </w:r>
      <w:proofErr w:type="gramStart"/>
      <w:r w:rsidRPr="00C860A1">
        <w:rPr>
          <w:i/>
          <w:iCs/>
          <w:sz w:val="20"/>
          <w:szCs w:val="20"/>
          <w:lang w:val="en-US"/>
        </w:rPr>
        <w:t>current status</w:t>
      </w:r>
      <w:proofErr w:type="gramEnd"/>
      <w:r w:rsidRPr="00C860A1">
        <w:rPr>
          <w:i/>
          <w:iCs/>
          <w:sz w:val="20"/>
          <w:szCs w:val="20"/>
          <w:lang w:val="en-US"/>
        </w:rPr>
        <w:t xml:space="preserve">, desired position within 2 years and your plan for reaching it. </w:t>
      </w:r>
    </w:p>
    <w:p w:rsidR="00232A0A" w:rsidRPr="00C860A1" w:rsidRDefault="00232A0A" w:rsidP="00232A0A">
      <w:pPr>
        <w:pStyle w:val="Default"/>
        <w:rPr>
          <w:sz w:val="20"/>
          <w:szCs w:val="20"/>
          <w:lang w:val="en-US"/>
        </w:rPr>
      </w:pPr>
    </w:p>
    <w:p w:rsidR="00232A0A" w:rsidRPr="00C860A1" w:rsidRDefault="00232A0A" w:rsidP="00232A0A">
      <w:pPr>
        <w:pStyle w:val="Default"/>
        <w:rPr>
          <w:sz w:val="20"/>
          <w:szCs w:val="20"/>
          <w:lang w:val="en-US"/>
        </w:rPr>
      </w:pPr>
      <w:r w:rsidRPr="00C860A1">
        <w:rPr>
          <w:sz w:val="20"/>
          <w:szCs w:val="20"/>
          <w:lang w:val="en-US"/>
        </w:rPr>
        <w:t xml:space="preserve">Criteria 4: Provide user support in terms of training on the use of all aspects of the infrastructure or direct support when the infrastructure is used. If not developed fully, there should be a plan for how to reach the criteria. Introducing application experts is an example on how to achieve this. </w:t>
      </w:r>
    </w:p>
    <w:p w:rsidR="00232A0A" w:rsidRPr="00C860A1" w:rsidRDefault="00232A0A" w:rsidP="00232A0A">
      <w:pPr>
        <w:pStyle w:val="Default"/>
        <w:rPr>
          <w:i/>
          <w:iCs/>
          <w:sz w:val="20"/>
          <w:szCs w:val="20"/>
          <w:lang w:val="en-US"/>
        </w:rPr>
      </w:pPr>
      <w:r w:rsidRPr="00C860A1">
        <w:rPr>
          <w:i/>
          <w:iCs/>
          <w:sz w:val="20"/>
          <w:szCs w:val="20"/>
          <w:lang w:val="en-US"/>
        </w:rPr>
        <w:t xml:space="preserve">Specify </w:t>
      </w:r>
      <w:proofErr w:type="gramStart"/>
      <w:r w:rsidRPr="00C860A1">
        <w:rPr>
          <w:i/>
          <w:iCs/>
          <w:sz w:val="20"/>
          <w:szCs w:val="20"/>
          <w:lang w:val="en-US"/>
        </w:rPr>
        <w:t>current status</w:t>
      </w:r>
      <w:proofErr w:type="gramEnd"/>
      <w:r w:rsidRPr="00C860A1">
        <w:rPr>
          <w:i/>
          <w:iCs/>
          <w:sz w:val="20"/>
          <w:szCs w:val="20"/>
          <w:lang w:val="en-US"/>
        </w:rPr>
        <w:t xml:space="preserve">, desired position within 2 years and your plan for reaching it. </w:t>
      </w:r>
    </w:p>
    <w:p w:rsidR="00232A0A" w:rsidRPr="00C860A1" w:rsidRDefault="00232A0A" w:rsidP="00232A0A">
      <w:pPr>
        <w:pStyle w:val="Default"/>
        <w:rPr>
          <w:sz w:val="20"/>
          <w:szCs w:val="20"/>
          <w:lang w:val="en-US"/>
        </w:rPr>
      </w:pPr>
    </w:p>
    <w:p w:rsidR="00232A0A" w:rsidRPr="00C860A1" w:rsidRDefault="00232A0A" w:rsidP="00232A0A">
      <w:pPr>
        <w:pStyle w:val="Default"/>
        <w:rPr>
          <w:sz w:val="20"/>
          <w:szCs w:val="20"/>
          <w:lang w:val="en-US"/>
        </w:rPr>
      </w:pPr>
      <w:r w:rsidRPr="00C860A1">
        <w:rPr>
          <w:b/>
          <w:bCs/>
          <w:sz w:val="20"/>
          <w:szCs w:val="20"/>
          <w:lang w:val="en-US"/>
        </w:rPr>
        <w:t xml:space="preserve">LONG TERM PLANNING RELATING TO ORGANISATION, FUNDING, </w:t>
      </w:r>
    </w:p>
    <w:p w:rsidR="00232A0A" w:rsidRPr="00C860A1" w:rsidRDefault="00232A0A" w:rsidP="00232A0A">
      <w:pPr>
        <w:pStyle w:val="Default"/>
        <w:rPr>
          <w:sz w:val="20"/>
          <w:szCs w:val="20"/>
          <w:lang w:val="en-US"/>
        </w:rPr>
      </w:pPr>
      <w:r w:rsidRPr="00C860A1">
        <w:rPr>
          <w:b/>
          <w:bCs/>
          <w:sz w:val="20"/>
          <w:szCs w:val="20"/>
          <w:lang w:val="en-US"/>
        </w:rPr>
        <w:t xml:space="preserve">SCIENTIFIC GOALS &amp; WIDER IMPACT </w:t>
      </w:r>
    </w:p>
    <w:p w:rsidR="00232A0A" w:rsidRPr="00C860A1" w:rsidRDefault="00232A0A" w:rsidP="00232A0A">
      <w:pPr>
        <w:pStyle w:val="Default"/>
        <w:rPr>
          <w:sz w:val="20"/>
          <w:szCs w:val="20"/>
          <w:lang w:val="en-US"/>
        </w:rPr>
      </w:pPr>
    </w:p>
    <w:p w:rsidR="00232A0A" w:rsidRPr="00C860A1" w:rsidRDefault="00232A0A" w:rsidP="00232A0A">
      <w:pPr>
        <w:pStyle w:val="Default"/>
        <w:rPr>
          <w:sz w:val="20"/>
          <w:szCs w:val="20"/>
          <w:lang w:val="en-US"/>
        </w:rPr>
      </w:pPr>
      <w:r w:rsidRPr="00C860A1">
        <w:rPr>
          <w:sz w:val="20"/>
          <w:szCs w:val="20"/>
          <w:lang w:val="en-US"/>
        </w:rPr>
        <w:t xml:space="preserve">Criteria 5: Be owned or controlled (fully or partly) by KTH, and </w:t>
      </w:r>
      <w:proofErr w:type="gramStart"/>
      <w:r w:rsidRPr="00C860A1">
        <w:rPr>
          <w:sz w:val="20"/>
          <w:szCs w:val="20"/>
          <w:lang w:val="en-US"/>
        </w:rPr>
        <w:t>be organizationally and economically recognized</w:t>
      </w:r>
      <w:proofErr w:type="gramEnd"/>
      <w:r w:rsidRPr="00C860A1">
        <w:rPr>
          <w:sz w:val="20"/>
          <w:szCs w:val="20"/>
          <w:lang w:val="en-US"/>
        </w:rPr>
        <w:t xml:space="preserve"> as a separate entity. </w:t>
      </w:r>
    </w:p>
    <w:p w:rsidR="00232A0A" w:rsidRPr="00C860A1" w:rsidRDefault="00232A0A" w:rsidP="00232A0A">
      <w:pPr>
        <w:pStyle w:val="Default"/>
        <w:rPr>
          <w:sz w:val="20"/>
          <w:szCs w:val="20"/>
          <w:lang w:val="en-US"/>
        </w:rPr>
      </w:pPr>
      <w:r w:rsidRPr="00C860A1">
        <w:rPr>
          <w:i/>
          <w:iCs/>
          <w:sz w:val="20"/>
          <w:szCs w:val="20"/>
          <w:lang w:val="en-US"/>
        </w:rPr>
        <w:t xml:space="preserve">Specify </w:t>
      </w:r>
      <w:proofErr w:type="gramStart"/>
      <w:r w:rsidRPr="00C860A1">
        <w:rPr>
          <w:i/>
          <w:iCs/>
          <w:sz w:val="20"/>
          <w:szCs w:val="20"/>
          <w:lang w:val="en-US"/>
        </w:rPr>
        <w:t>current status</w:t>
      </w:r>
      <w:proofErr w:type="gramEnd"/>
      <w:r w:rsidRPr="00C860A1">
        <w:rPr>
          <w:i/>
          <w:iCs/>
          <w:sz w:val="20"/>
          <w:szCs w:val="20"/>
          <w:lang w:val="en-US"/>
        </w:rPr>
        <w:t xml:space="preserve"> and desired position within 2 years. </w:t>
      </w:r>
    </w:p>
    <w:p w:rsidR="00232A0A" w:rsidRPr="00C860A1" w:rsidRDefault="00232A0A" w:rsidP="00232A0A">
      <w:pPr>
        <w:pStyle w:val="Default"/>
        <w:rPr>
          <w:sz w:val="20"/>
          <w:szCs w:val="20"/>
          <w:lang w:val="en-US"/>
        </w:rPr>
      </w:pPr>
    </w:p>
    <w:p w:rsidR="00232A0A" w:rsidRPr="00C860A1" w:rsidRDefault="00232A0A" w:rsidP="00232A0A">
      <w:pPr>
        <w:pStyle w:val="Default"/>
        <w:rPr>
          <w:sz w:val="20"/>
          <w:szCs w:val="20"/>
          <w:lang w:val="en-US"/>
        </w:rPr>
      </w:pPr>
      <w:r w:rsidRPr="00C860A1">
        <w:rPr>
          <w:sz w:val="20"/>
          <w:szCs w:val="20"/>
          <w:lang w:val="en-US"/>
        </w:rPr>
        <w:t xml:space="preserve">Criteria 6: Have a long term planning concerning its impact on research, education and society, and its development, keeping up with state of the art. </w:t>
      </w:r>
    </w:p>
    <w:p w:rsidR="00232A0A" w:rsidRPr="00C860A1" w:rsidRDefault="00232A0A" w:rsidP="00232A0A">
      <w:pPr>
        <w:pStyle w:val="Default"/>
        <w:rPr>
          <w:sz w:val="20"/>
          <w:szCs w:val="20"/>
          <w:lang w:val="en-US"/>
        </w:rPr>
      </w:pPr>
      <w:r w:rsidRPr="00C860A1">
        <w:rPr>
          <w:i/>
          <w:iCs/>
          <w:sz w:val="20"/>
          <w:szCs w:val="20"/>
          <w:lang w:val="en-US"/>
        </w:rPr>
        <w:t xml:space="preserve">Please note that the research infrastructure should not have its own research agenda. Specify from the point of view of research groups using the infrastructure. Include if applicable its use in basic/advanced educational programs. </w:t>
      </w:r>
    </w:p>
    <w:p w:rsidR="00232A0A" w:rsidRPr="00C860A1" w:rsidRDefault="00232A0A" w:rsidP="00232A0A">
      <w:pPr>
        <w:pStyle w:val="Default"/>
        <w:rPr>
          <w:sz w:val="20"/>
          <w:szCs w:val="20"/>
          <w:lang w:val="en-US"/>
        </w:rPr>
      </w:pPr>
    </w:p>
    <w:p w:rsidR="00232A0A" w:rsidRPr="00C860A1" w:rsidRDefault="00232A0A" w:rsidP="00232A0A">
      <w:pPr>
        <w:pStyle w:val="Default"/>
        <w:rPr>
          <w:sz w:val="20"/>
          <w:szCs w:val="20"/>
          <w:lang w:val="en-US"/>
        </w:rPr>
      </w:pPr>
      <w:r w:rsidRPr="00C860A1">
        <w:rPr>
          <w:sz w:val="20"/>
          <w:szCs w:val="20"/>
          <w:lang w:val="en-US"/>
        </w:rPr>
        <w:t xml:space="preserve">Criteria 7: Economical sustainability - a long term planning concerning investments and operations. Cost of decommissioning should be included briefly. </w:t>
      </w:r>
    </w:p>
    <w:p w:rsidR="00232A0A" w:rsidRPr="00C860A1" w:rsidRDefault="00232A0A" w:rsidP="00232A0A">
      <w:pPr>
        <w:pStyle w:val="Default"/>
        <w:rPr>
          <w:i/>
          <w:iCs/>
          <w:sz w:val="20"/>
          <w:szCs w:val="20"/>
          <w:lang w:val="en-US"/>
        </w:rPr>
      </w:pPr>
      <w:r w:rsidRPr="00C860A1">
        <w:rPr>
          <w:i/>
          <w:iCs/>
          <w:sz w:val="20"/>
          <w:szCs w:val="20"/>
          <w:lang w:val="en-US"/>
        </w:rPr>
        <w:t xml:space="preserve">Clarify cost and income structure from both an operational as well as investment perspective. </w:t>
      </w:r>
    </w:p>
    <w:p w:rsidR="00232A0A" w:rsidRPr="00C860A1" w:rsidRDefault="00232A0A" w:rsidP="00232A0A">
      <w:pPr>
        <w:pStyle w:val="Default"/>
        <w:rPr>
          <w:sz w:val="20"/>
          <w:szCs w:val="20"/>
          <w:lang w:val="en-US"/>
        </w:rPr>
      </w:pPr>
    </w:p>
    <w:p w:rsidR="00232A0A" w:rsidRPr="00C860A1" w:rsidRDefault="00232A0A" w:rsidP="00232A0A">
      <w:pPr>
        <w:pStyle w:val="Default"/>
        <w:rPr>
          <w:sz w:val="20"/>
          <w:szCs w:val="20"/>
          <w:lang w:val="en-US"/>
        </w:rPr>
      </w:pPr>
      <w:r w:rsidRPr="00C860A1">
        <w:rPr>
          <w:sz w:val="20"/>
          <w:szCs w:val="20"/>
          <w:lang w:val="en-US"/>
        </w:rPr>
        <w:t xml:space="preserve">Criteria 8: Have transparent and efficient governance. </w:t>
      </w:r>
    </w:p>
    <w:p w:rsidR="00232A0A" w:rsidRPr="00C860A1" w:rsidRDefault="00232A0A" w:rsidP="00232A0A">
      <w:pPr>
        <w:pStyle w:val="Default"/>
        <w:rPr>
          <w:sz w:val="20"/>
          <w:szCs w:val="20"/>
          <w:lang w:val="en-US"/>
        </w:rPr>
      </w:pPr>
      <w:r w:rsidRPr="00C860A1">
        <w:rPr>
          <w:i/>
          <w:iCs/>
          <w:sz w:val="20"/>
          <w:szCs w:val="20"/>
          <w:lang w:val="en-US"/>
        </w:rPr>
        <w:t xml:space="preserve">Describe the current management structure, including Director’s engagement. Advisory board/board if applicable. </w:t>
      </w:r>
    </w:p>
    <w:p w:rsidR="00232A0A" w:rsidRPr="00C860A1" w:rsidRDefault="00232A0A" w:rsidP="00232A0A">
      <w:pPr>
        <w:pStyle w:val="Default"/>
        <w:rPr>
          <w:sz w:val="20"/>
          <w:szCs w:val="20"/>
          <w:lang w:val="en-US"/>
        </w:rPr>
      </w:pPr>
    </w:p>
    <w:p w:rsidR="00232A0A" w:rsidRPr="00C860A1" w:rsidRDefault="00232A0A" w:rsidP="00232A0A">
      <w:pPr>
        <w:pStyle w:val="Default"/>
        <w:rPr>
          <w:sz w:val="20"/>
          <w:szCs w:val="20"/>
          <w:lang w:val="en-US"/>
        </w:rPr>
      </w:pPr>
      <w:r w:rsidRPr="00C860A1">
        <w:rPr>
          <w:b/>
          <w:bCs/>
          <w:sz w:val="20"/>
          <w:szCs w:val="20"/>
          <w:lang w:val="en-US"/>
        </w:rPr>
        <w:t xml:space="preserve">CONTINUOUS QUALITY DEVELOPMENT </w:t>
      </w:r>
    </w:p>
    <w:p w:rsidR="00232A0A" w:rsidRPr="00C860A1" w:rsidRDefault="00232A0A" w:rsidP="00232A0A">
      <w:pPr>
        <w:pStyle w:val="Default"/>
        <w:rPr>
          <w:sz w:val="20"/>
          <w:szCs w:val="20"/>
          <w:lang w:val="en-US"/>
        </w:rPr>
      </w:pPr>
    </w:p>
    <w:p w:rsidR="00232A0A" w:rsidRPr="00C860A1" w:rsidRDefault="00232A0A" w:rsidP="00232A0A">
      <w:pPr>
        <w:pStyle w:val="Default"/>
        <w:rPr>
          <w:sz w:val="20"/>
          <w:szCs w:val="20"/>
          <w:lang w:val="en-US"/>
        </w:rPr>
      </w:pPr>
      <w:r w:rsidRPr="00C860A1">
        <w:rPr>
          <w:sz w:val="20"/>
          <w:szCs w:val="20"/>
          <w:lang w:val="en-US"/>
        </w:rPr>
        <w:t xml:space="preserve">Criteria 9: Be reviewed regularly with respect to the above criteria and relevant KPI’s established by each research infrastructure. The </w:t>
      </w:r>
      <w:proofErr w:type="gramStart"/>
      <w:r w:rsidRPr="00C860A1">
        <w:rPr>
          <w:sz w:val="20"/>
          <w:szCs w:val="20"/>
          <w:lang w:val="en-US"/>
        </w:rPr>
        <w:t>review is organized by the Deputy President</w:t>
      </w:r>
      <w:proofErr w:type="gramEnd"/>
      <w:r w:rsidRPr="00C860A1">
        <w:rPr>
          <w:sz w:val="20"/>
          <w:szCs w:val="20"/>
          <w:lang w:val="en-US"/>
        </w:rPr>
        <w:t xml:space="preserve">. </w:t>
      </w:r>
    </w:p>
    <w:p w:rsidR="00232A0A" w:rsidRPr="00C860A1" w:rsidRDefault="00232A0A" w:rsidP="00232A0A">
      <w:pPr>
        <w:pStyle w:val="Default"/>
        <w:rPr>
          <w:sz w:val="20"/>
          <w:szCs w:val="20"/>
          <w:lang w:val="en-US"/>
        </w:rPr>
      </w:pPr>
      <w:r w:rsidRPr="00C860A1">
        <w:rPr>
          <w:i/>
          <w:iCs/>
          <w:sz w:val="20"/>
          <w:szCs w:val="20"/>
          <w:lang w:val="en-US"/>
        </w:rPr>
        <w:t xml:space="preserve">Specify relevant </w:t>
      </w:r>
      <w:proofErr w:type="gramStart"/>
      <w:r w:rsidRPr="00C860A1">
        <w:rPr>
          <w:i/>
          <w:iCs/>
          <w:sz w:val="20"/>
          <w:szCs w:val="20"/>
          <w:lang w:val="en-US"/>
        </w:rPr>
        <w:t>KPI’s</w:t>
      </w:r>
      <w:proofErr w:type="gramEnd"/>
      <w:r w:rsidRPr="00C860A1">
        <w:rPr>
          <w:i/>
          <w:iCs/>
          <w:sz w:val="20"/>
          <w:szCs w:val="20"/>
          <w:lang w:val="en-US"/>
        </w:rPr>
        <w:t xml:space="preserve"> on which the research infrastructure should be reviewed after one year of funding. </w:t>
      </w:r>
    </w:p>
    <w:p w:rsidR="00232A0A" w:rsidRPr="00E96477" w:rsidRDefault="00232A0A" w:rsidP="00232A0A">
      <w:pPr>
        <w:pStyle w:val="BodyText"/>
        <w:spacing w:after="0" w:line="240" w:lineRule="auto"/>
      </w:pPr>
    </w:p>
    <w:p w:rsidR="00981197" w:rsidRPr="00C33F81" w:rsidRDefault="00981197" w:rsidP="001741B3">
      <w:bookmarkStart w:id="0" w:name="_GoBack"/>
      <w:bookmarkEnd w:id="0"/>
    </w:p>
    <w:sectPr w:rsidR="00981197" w:rsidRPr="00C33F8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B43" w:rsidRDefault="004B0B43" w:rsidP="00AB37AC">
      <w:r>
        <w:separator/>
      </w:r>
    </w:p>
  </w:endnote>
  <w:endnote w:type="continuationSeparator" w:id="0">
    <w:p w:rsidR="004B0B43" w:rsidRDefault="004B0B43"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B43" w:rsidRDefault="004B0B43" w:rsidP="00AB37AC">
      <w:r>
        <w:separator/>
      </w:r>
    </w:p>
  </w:footnote>
  <w:footnote w:type="continuationSeparator" w:id="0">
    <w:p w:rsidR="004B0B43" w:rsidRDefault="004B0B43"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0A"/>
    <w:rsid w:val="00037A26"/>
    <w:rsid w:val="000B4D37"/>
    <w:rsid w:val="000E0B56"/>
    <w:rsid w:val="000F0D78"/>
    <w:rsid w:val="001621F9"/>
    <w:rsid w:val="001741B3"/>
    <w:rsid w:val="0018642A"/>
    <w:rsid w:val="001F3547"/>
    <w:rsid w:val="00232A0A"/>
    <w:rsid w:val="002A115A"/>
    <w:rsid w:val="002E47D4"/>
    <w:rsid w:val="00310604"/>
    <w:rsid w:val="00383258"/>
    <w:rsid w:val="003A221F"/>
    <w:rsid w:val="003B55F6"/>
    <w:rsid w:val="003D5E50"/>
    <w:rsid w:val="00484AB4"/>
    <w:rsid w:val="004A3440"/>
    <w:rsid w:val="004B0B43"/>
    <w:rsid w:val="004B3394"/>
    <w:rsid w:val="004F684C"/>
    <w:rsid w:val="00516DE4"/>
    <w:rsid w:val="00523FF5"/>
    <w:rsid w:val="00547786"/>
    <w:rsid w:val="00547E65"/>
    <w:rsid w:val="0057553D"/>
    <w:rsid w:val="00611DEC"/>
    <w:rsid w:val="006574CC"/>
    <w:rsid w:val="006C3154"/>
    <w:rsid w:val="007835A7"/>
    <w:rsid w:val="00792464"/>
    <w:rsid w:val="007D0976"/>
    <w:rsid w:val="007F3C19"/>
    <w:rsid w:val="00825507"/>
    <w:rsid w:val="00863257"/>
    <w:rsid w:val="00873303"/>
    <w:rsid w:val="008815CA"/>
    <w:rsid w:val="008822FA"/>
    <w:rsid w:val="008E4593"/>
    <w:rsid w:val="00922FFA"/>
    <w:rsid w:val="00923193"/>
    <w:rsid w:val="009361E7"/>
    <w:rsid w:val="00981197"/>
    <w:rsid w:val="009A3428"/>
    <w:rsid w:val="009A59C3"/>
    <w:rsid w:val="00A37248"/>
    <w:rsid w:val="00A506FD"/>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33F81"/>
    <w:rsid w:val="00C46B7C"/>
    <w:rsid w:val="00C65034"/>
    <w:rsid w:val="00C87FA2"/>
    <w:rsid w:val="00D2245B"/>
    <w:rsid w:val="00EB07F4"/>
    <w:rsid w:val="00EF1D64"/>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C33F81"/>
    <w:pPr>
      <w:spacing w:after="240" w:line="260" w:lineRule="atLeast"/>
    </w:pPr>
  </w:style>
  <w:style w:type="character" w:customStyle="1" w:styleId="BodyTextChar">
    <w:name w:val="Body Text Char"/>
    <w:aliases w:val="KTH Brödtext Char"/>
    <w:basedOn w:val="DefaultParagraphFont"/>
    <w:link w:val="BodyText"/>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paragraph" w:customStyle="1" w:styleId="Default">
    <w:name w:val="Default"/>
    <w:rsid w:val="00232A0A"/>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2020-04-27T12:09:00Z</dcterms:created>
  <dcterms:modified xsi:type="dcterms:W3CDTF">2020-04-27T12:10:00Z</dcterms:modified>
</cp:coreProperties>
</file>