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987D" w14:textId="41A1AA76" w:rsidR="00321007" w:rsidRPr="00242EE0" w:rsidRDefault="00000000" w:rsidP="00242EE0">
      <w:pPr>
        <w:pStyle w:val="KTHTitel"/>
        <w:sectPr w:rsidR="00321007" w:rsidRPr="00242EE0" w:rsidSect="00ED60C1">
          <w:headerReference w:type="default" r:id="rId8"/>
          <w:footerReference w:type="default" r:id="rId9"/>
          <w:headerReference w:type="first" r:id="rId10"/>
          <w:footerReference w:type="first" r:id="rId11"/>
          <w:type w:val="continuous"/>
          <w:pgSz w:w="11906" w:h="16838" w:code="9"/>
          <w:pgMar w:top="709" w:right="1304" w:bottom="1474" w:left="1474" w:header="1020" w:footer="567" w:gutter="0"/>
          <w:cols w:space="708"/>
          <w:docGrid w:linePitch="360"/>
        </w:sectPr>
      </w:pPr>
      <w:sdt>
        <w:sdtPr>
          <w:id w:val="-444229433"/>
        </w:sdtPr>
        <w:sdtContent>
          <w:r w:rsidR="00321007">
            <w:t>ALLMÄNNA VILLKOR FÖR TJÄNSTER UNDER 100 000 KR</w:t>
          </w:r>
        </w:sdtContent>
      </w:sdt>
      <w:r w:rsidR="0036126D">
        <w:t xml:space="preserve"> </w:t>
      </w:r>
    </w:p>
    <w:p w14:paraId="46C9D890" w14:textId="77777777" w:rsidR="00321007" w:rsidRPr="00E80407" w:rsidRDefault="00321007" w:rsidP="0097551B">
      <w:pPr>
        <w:pStyle w:val="ListParagraph"/>
        <w:numPr>
          <w:ilvl w:val="0"/>
          <w:numId w:val="19"/>
        </w:numPr>
        <w:jc w:val="both"/>
        <w:rPr>
          <w:b/>
          <w:sz w:val="15"/>
          <w:szCs w:val="15"/>
        </w:rPr>
      </w:pPr>
      <w:r w:rsidRPr="00E80407">
        <w:rPr>
          <w:b/>
          <w:sz w:val="15"/>
          <w:szCs w:val="15"/>
        </w:rPr>
        <w:t>KTH:s generella åtagande</w:t>
      </w:r>
    </w:p>
    <w:p w14:paraId="2B0DDCB2" w14:textId="420AAD29" w:rsidR="00EB7BE6" w:rsidRPr="00E80407" w:rsidRDefault="00516DC6" w:rsidP="00283945">
      <w:pPr>
        <w:pStyle w:val="ListParagraph"/>
        <w:jc w:val="both"/>
        <w:rPr>
          <w:sz w:val="15"/>
          <w:szCs w:val="15"/>
        </w:rPr>
      </w:pPr>
      <w:r w:rsidRPr="00E80407">
        <w:rPr>
          <w:sz w:val="15"/>
          <w:szCs w:val="15"/>
        </w:rPr>
        <w:t>Dessa allmänna villkor utgör en del av avtalet. Villkoren</w:t>
      </w:r>
      <w:r w:rsidR="00E13D89" w:rsidRPr="00E80407">
        <w:rPr>
          <w:sz w:val="15"/>
          <w:szCs w:val="15"/>
        </w:rPr>
        <w:t xml:space="preserve"> </w:t>
      </w:r>
      <w:r w:rsidRPr="00E80407">
        <w:rPr>
          <w:i/>
          <w:sz w:val="15"/>
          <w:szCs w:val="15"/>
        </w:rPr>
        <w:t xml:space="preserve">är sekundära </w:t>
      </w:r>
      <w:r w:rsidRPr="00E80407">
        <w:rPr>
          <w:sz w:val="15"/>
          <w:szCs w:val="15"/>
        </w:rPr>
        <w:t>och gäller såvida inte annat framgår av huvudavtalet</w:t>
      </w:r>
      <w:r w:rsidR="00321007" w:rsidRPr="00E80407">
        <w:rPr>
          <w:sz w:val="15"/>
          <w:szCs w:val="15"/>
        </w:rPr>
        <w:t xml:space="preserve">. </w:t>
      </w:r>
    </w:p>
    <w:p w14:paraId="5517699D" w14:textId="77777777" w:rsidR="00321007" w:rsidRPr="00E80407" w:rsidRDefault="00321007" w:rsidP="00321007">
      <w:pPr>
        <w:autoSpaceDE w:val="0"/>
        <w:autoSpaceDN w:val="0"/>
        <w:adjustRightInd w:val="0"/>
        <w:jc w:val="both"/>
        <w:rPr>
          <w:rFonts w:cs="ArialMT"/>
          <w:sz w:val="15"/>
          <w:szCs w:val="15"/>
        </w:rPr>
      </w:pPr>
    </w:p>
    <w:p w14:paraId="7E3B8C77" w14:textId="43E182BD" w:rsidR="00321007" w:rsidRPr="00E80407" w:rsidRDefault="004C52CD" w:rsidP="00153057">
      <w:pPr>
        <w:pStyle w:val="ListParagraph"/>
        <w:numPr>
          <w:ilvl w:val="0"/>
          <w:numId w:val="19"/>
        </w:numPr>
        <w:jc w:val="both"/>
        <w:rPr>
          <w:b/>
          <w:sz w:val="15"/>
          <w:szCs w:val="15"/>
        </w:rPr>
      </w:pPr>
      <w:r w:rsidRPr="00E80407">
        <w:rPr>
          <w:b/>
          <w:sz w:val="15"/>
          <w:szCs w:val="15"/>
        </w:rPr>
        <w:t>Parternas allmänna</w:t>
      </w:r>
      <w:r w:rsidR="00321007" w:rsidRPr="00E80407">
        <w:rPr>
          <w:b/>
          <w:sz w:val="15"/>
          <w:szCs w:val="15"/>
        </w:rPr>
        <w:t xml:space="preserve"> åtagande</w:t>
      </w:r>
    </w:p>
    <w:p w14:paraId="00726609" w14:textId="77777777" w:rsidR="00E13D89" w:rsidRPr="00E80407" w:rsidRDefault="00E13D89" w:rsidP="00283945">
      <w:pPr>
        <w:pStyle w:val="ListParagraph"/>
        <w:spacing w:after="60"/>
        <w:jc w:val="both"/>
        <w:rPr>
          <w:sz w:val="15"/>
          <w:szCs w:val="15"/>
        </w:rPr>
      </w:pPr>
      <w:r w:rsidRPr="00E80407">
        <w:rPr>
          <w:sz w:val="15"/>
          <w:szCs w:val="15"/>
        </w:rPr>
        <w:t>KTH verkar aktivt för att Uppdraget kan genomföras på avsett sätt och på utsatt tid. Med detta avses bland annat, att KTH lämnar erforderliga instruktioner och information som är nödvändiga för genomförande.</w:t>
      </w:r>
    </w:p>
    <w:p w14:paraId="4D88A8AA" w14:textId="5BDFEA4F" w:rsidR="00321007" w:rsidRPr="00E80407" w:rsidRDefault="00321007" w:rsidP="00283945">
      <w:pPr>
        <w:pStyle w:val="ListParagraph"/>
        <w:spacing w:after="60"/>
        <w:jc w:val="both"/>
        <w:rPr>
          <w:sz w:val="15"/>
          <w:szCs w:val="15"/>
        </w:rPr>
      </w:pPr>
      <w:r w:rsidRPr="00E80407">
        <w:rPr>
          <w:sz w:val="15"/>
          <w:szCs w:val="15"/>
        </w:rPr>
        <w:t>Leverantören utför alla delar av uppdraget i enlighet med bestämmelserna i avtalet och med den skicklighet, snabbhet och omsorg som KTH har anledning att förvänta sig. Leverantören har ett professionellt tillvägagångssätt där Leverantörens kompetens, erfarenhet och kunskap inom området används för att på alla sätt tillvarata KTH:s intressen. Leverantören följer gällande lagstiftning och förordningar som direkt och indirekt är tillämpbara på detta uppdrag. Leverantören ska säkerställa att giltigt tillstånd/certifiering finns i de fall sådant krävs för genomförande av uppdrag. Leverantören ansvarar för att tjänsten levereras vid avsedd tidpunkt samt till avtalad kvalitet.</w:t>
      </w:r>
      <w:r w:rsidR="00242EE0" w:rsidRPr="00E80407">
        <w:rPr>
          <w:sz w:val="15"/>
          <w:szCs w:val="15"/>
        </w:rPr>
        <w:t xml:space="preserve"> </w:t>
      </w:r>
      <w:r w:rsidR="002E5B94" w:rsidRPr="00E80407">
        <w:rPr>
          <w:sz w:val="15"/>
          <w:szCs w:val="15"/>
        </w:rPr>
        <w:t>Konsulten ska följa de arbetstider som gäller för motsvarande personal hos KTH, om inget annat överenskommits. Sjukdom eller annan oplanerad frånvaro anmäls till både KTH och Leverantören om inget annat överenskommits parterna emellan.</w:t>
      </w:r>
    </w:p>
    <w:p w14:paraId="021D17C2" w14:textId="77777777" w:rsidR="00983EC3" w:rsidRPr="00E80407" w:rsidRDefault="00983EC3" w:rsidP="002E5B94">
      <w:pPr>
        <w:pStyle w:val="ListParagraph"/>
        <w:spacing w:after="60"/>
        <w:rPr>
          <w:sz w:val="15"/>
          <w:szCs w:val="15"/>
        </w:rPr>
      </w:pPr>
    </w:p>
    <w:p w14:paraId="5B82A364" w14:textId="77777777" w:rsidR="00983EC3" w:rsidRPr="00E80407" w:rsidRDefault="00983EC3" w:rsidP="00983EC3">
      <w:pPr>
        <w:pStyle w:val="ListParagraph"/>
        <w:numPr>
          <w:ilvl w:val="0"/>
          <w:numId w:val="19"/>
        </w:numPr>
        <w:jc w:val="both"/>
        <w:rPr>
          <w:b/>
          <w:sz w:val="15"/>
          <w:szCs w:val="15"/>
        </w:rPr>
      </w:pPr>
      <w:r w:rsidRPr="00E80407">
        <w:rPr>
          <w:b/>
          <w:sz w:val="15"/>
          <w:szCs w:val="15"/>
        </w:rPr>
        <w:t>Lednings-och ansvarsförhållanden samt avstämning och återrapportering av uppdraget</w:t>
      </w:r>
    </w:p>
    <w:p w14:paraId="3DC32931" w14:textId="42BF3E86" w:rsidR="00983EC3" w:rsidRPr="00E80407" w:rsidRDefault="00983EC3" w:rsidP="00283945">
      <w:pPr>
        <w:pStyle w:val="ListParagraph"/>
        <w:jc w:val="both"/>
        <w:rPr>
          <w:sz w:val="15"/>
          <w:szCs w:val="15"/>
        </w:rPr>
      </w:pPr>
      <w:r w:rsidRPr="00E80407">
        <w:rPr>
          <w:sz w:val="15"/>
          <w:szCs w:val="15"/>
        </w:rPr>
        <w:t>Det ska finnas en person hos Leverantören utsedd att vara KTH:s kontaktperson för Avtalet</w:t>
      </w:r>
      <w:r w:rsidR="00AA1D12" w:rsidRPr="00E80407">
        <w:rPr>
          <w:sz w:val="15"/>
          <w:szCs w:val="15"/>
        </w:rPr>
        <w:t>.</w:t>
      </w:r>
      <w:r w:rsidRPr="00E80407">
        <w:rPr>
          <w:sz w:val="15"/>
          <w:szCs w:val="15"/>
        </w:rPr>
        <w:t xml:space="preserve"> Kontaktperson hos Leverantören har, om inte annat skriftligen meddelats angiven kontaktperson på KTH, behö</w:t>
      </w:r>
      <w:r w:rsidR="00AA1D12" w:rsidRPr="00E80407">
        <w:rPr>
          <w:sz w:val="15"/>
          <w:szCs w:val="15"/>
        </w:rPr>
        <w:t xml:space="preserve">righet att </w:t>
      </w:r>
      <w:r w:rsidRPr="00E80407">
        <w:rPr>
          <w:sz w:val="15"/>
          <w:szCs w:val="15"/>
        </w:rPr>
        <w:t>företräda denne i frågor som berör uppdragets specifikation och genomförande. För angiven kontaktperson utsedd av KTH gäller motsvarande behörighet om inte annat skriftligen meddelas kontaktperson hos Leverantören.</w:t>
      </w:r>
    </w:p>
    <w:p w14:paraId="03100BEE" w14:textId="77777777" w:rsidR="00983EC3" w:rsidRPr="00E80407" w:rsidRDefault="00983EC3" w:rsidP="00283945">
      <w:pPr>
        <w:pStyle w:val="ListParagraph"/>
        <w:jc w:val="both"/>
        <w:rPr>
          <w:sz w:val="15"/>
          <w:szCs w:val="15"/>
        </w:rPr>
      </w:pPr>
      <w:r w:rsidRPr="00E80407">
        <w:rPr>
          <w:sz w:val="15"/>
          <w:szCs w:val="15"/>
        </w:rPr>
        <w:t>Parterna ska fortlöpande hålla varandra informerade om sådana förhållanden som kan påverka Uppdraget enligt detta avtal.</w:t>
      </w:r>
    </w:p>
    <w:p w14:paraId="19A655BF" w14:textId="77777777" w:rsidR="00983EC3" w:rsidRPr="00E80407" w:rsidRDefault="00983EC3" w:rsidP="00283945">
      <w:pPr>
        <w:pStyle w:val="ListParagraph"/>
        <w:jc w:val="both"/>
        <w:rPr>
          <w:sz w:val="15"/>
          <w:szCs w:val="15"/>
        </w:rPr>
      </w:pPr>
      <w:r w:rsidRPr="00E80407">
        <w:rPr>
          <w:sz w:val="15"/>
          <w:szCs w:val="15"/>
        </w:rPr>
        <w:t xml:space="preserve">Avtalsparterna äger när som helst rätt att byta ut angivna kontaktpersoner, förutsatt att skriftlig underrättelse därom sker utan dröjsmål till den andre parten. </w:t>
      </w:r>
    </w:p>
    <w:p w14:paraId="47BB826E" w14:textId="77777777" w:rsidR="00735B26" w:rsidRPr="00E80407" w:rsidRDefault="00983EC3" w:rsidP="00283945">
      <w:pPr>
        <w:pStyle w:val="ListParagraph"/>
        <w:jc w:val="both"/>
        <w:rPr>
          <w:sz w:val="15"/>
          <w:szCs w:val="15"/>
        </w:rPr>
      </w:pPr>
      <w:r w:rsidRPr="00E80407">
        <w:rPr>
          <w:sz w:val="15"/>
          <w:szCs w:val="15"/>
        </w:rPr>
        <w:t xml:space="preserve">Möte med Leverantören sker med distansöverbryggande teknik och i de fall behov finns, även på KTH Campus. Leverantören kan därför delta i planerade, personliga möten helgfri måndag till fredag mellan kl. 08.00 och 16.00 Leverantören äger inte rätt till någon form av ersättning, </w:t>
      </w:r>
      <w:proofErr w:type="gramStart"/>
      <w:r w:rsidRPr="00E80407">
        <w:rPr>
          <w:sz w:val="15"/>
          <w:szCs w:val="15"/>
        </w:rPr>
        <w:t>t ex</w:t>
      </w:r>
      <w:proofErr w:type="gramEnd"/>
      <w:r w:rsidRPr="00E80407">
        <w:rPr>
          <w:sz w:val="15"/>
          <w:szCs w:val="15"/>
        </w:rPr>
        <w:t xml:space="preserve"> för resekostnader eller traktamente, i samband med eventuella resor.</w:t>
      </w:r>
    </w:p>
    <w:p w14:paraId="709D3EE4" w14:textId="0E81FEB3" w:rsidR="00983EC3" w:rsidRPr="00E80407" w:rsidRDefault="00735B26" w:rsidP="00283945">
      <w:pPr>
        <w:pStyle w:val="ListParagraph"/>
        <w:jc w:val="both"/>
        <w:rPr>
          <w:sz w:val="15"/>
          <w:szCs w:val="15"/>
        </w:rPr>
      </w:pPr>
      <w:r w:rsidRPr="00E80407">
        <w:rPr>
          <w:sz w:val="15"/>
          <w:szCs w:val="15"/>
        </w:rPr>
        <w:t>Kontaktpersonerna äger inte rätt att förändra innehållet i detta avtal.</w:t>
      </w:r>
      <w:r w:rsidR="00983EC3" w:rsidRPr="00E80407">
        <w:rPr>
          <w:sz w:val="15"/>
          <w:szCs w:val="15"/>
        </w:rPr>
        <w:t xml:space="preserve"> </w:t>
      </w:r>
    </w:p>
    <w:p w14:paraId="322E6526" w14:textId="77777777" w:rsidR="00321007" w:rsidRPr="00E80407" w:rsidRDefault="00321007" w:rsidP="00153057">
      <w:pPr>
        <w:pStyle w:val="ListParagraph"/>
        <w:jc w:val="both"/>
        <w:rPr>
          <w:sz w:val="15"/>
          <w:szCs w:val="15"/>
        </w:rPr>
      </w:pPr>
    </w:p>
    <w:p w14:paraId="38EB28B7" w14:textId="1D72EE09" w:rsidR="00321007" w:rsidRPr="00E80407" w:rsidRDefault="00321007" w:rsidP="00153057">
      <w:pPr>
        <w:pStyle w:val="ListParagraph"/>
        <w:numPr>
          <w:ilvl w:val="0"/>
          <w:numId w:val="19"/>
        </w:numPr>
        <w:jc w:val="both"/>
        <w:rPr>
          <w:b/>
          <w:sz w:val="15"/>
          <w:szCs w:val="15"/>
        </w:rPr>
      </w:pPr>
      <w:r w:rsidRPr="00E80407">
        <w:rPr>
          <w:b/>
          <w:sz w:val="15"/>
          <w:szCs w:val="15"/>
        </w:rPr>
        <w:t>Byte av konsult</w:t>
      </w:r>
      <w:r w:rsidR="00E2495C" w:rsidRPr="00E80407">
        <w:rPr>
          <w:b/>
          <w:sz w:val="15"/>
          <w:szCs w:val="15"/>
        </w:rPr>
        <w:t xml:space="preserve"> samt ersättare vid frånvaro</w:t>
      </w:r>
    </w:p>
    <w:p w14:paraId="4C6CBBE4" w14:textId="64DA1429" w:rsidR="00E2495C" w:rsidRPr="00E80407" w:rsidRDefault="00321007" w:rsidP="00283945">
      <w:pPr>
        <w:pStyle w:val="ListParagraph"/>
        <w:jc w:val="both"/>
        <w:rPr>
          <w:sz w:val="15"/>
          <w:szCs w:val="15"/>
        </w:rPr>
      </w:pPr>
      <w:r w:rsidRPr="00E80407">
        <w:rPr>
          <w:sz w:val="15"/>
          <w:szCs w:val="15"/>
        </w:rPr>
        <w:t>Leverantör ska utan oskäligt dröjsmål byta ut konsult om KTH anser att denne saknar efterfrågad kompetens och erfarenhet som avtalats och som krävs för uppdraget eller med vilken KTH anser sig ha samarbetssvårighet.</w:t>
      </w:r>
      <w:r w:rsidR="00C7384A" w:rsidRPr="00E80407">
        <w:rPr>
          <w:sz w:val="15"/>
          <w:szCs w:val="15"/>
        </w:rPr>
        <w:t xml:space="preserve"> </w:t>
      </w:r>
      <w:r w:rsidR="00E2495C" w:rsidRPr="00E80407">
        <w:rPr>
          <w:sz w:val="15"/>
          <w:szCs w:val="15"/>
        </w:rPr>
        <w:t>Vid frånvaro, tex semester, ska Leverantören, om KTH så önskar, tillhandahålla lämplig ersättare från samma dag som ordinarie konsult är frånvarande.</w:t>
      </w:r>
      <w:r w:rsidRPr="00E80407">
        <w:rPr>
          <w:sz w:val="15"/>
          <w:szCs w:val="15"/>
        </w:rPr>
        <w:t> </w:t>
      </w:r>
    </w:p>
    <w:p w14:paraId="3085BA04" w14:textId="27B7ACCB" w:rsidR="00321007" w:rsidRPr="00E80407" w:rsidRDefault="00321007" w:rsidP="00283945">
      <w:pPr>
        <w:pStyle w:val="ListParagraph"/>
        <w:jc w:val="both"/>
        <w:rPr>
          <w:sz w:val="15"/>
          <w:szCs w:val="15"/>
        </w:rPr>
      </w:pPr>
      <w:r w:rsidRPr="00E80407">
        <w:rPr>
          <w:sz w:val="15"/>
          <w:szCs w:val="15"/>
        </w:rPr>
        <w:t>KTH ska godkänna föreslagen, ersättande konsult innan dennes uppdrag påbörjas. Detta godkännande ska vara skriftligt för att äga giltighet.</w:t>
      </w:r>
      <w:r w:rsidRPr="00E80407">
        <w:rPr>
          <w:sz w:val="15"/>
          <w:szCs w:val="15"/>
        </w:rPr>
        <w:br/>
        <w:t xml:space="preserve">Leverantören svarar för alla eventuella uppkomna kostnader och uppkommen tidsåtgång i samband med byte av personal hos Leverantören med påverkan på detta Avtal och/eller dess Uppdrag. </w:t>
      </w:r>
    </w:p>
    <w:p w14:paraId="03EA0BFF" w14:textId="77777777" w:rsidR="00283945" w:rsidRPr="00E80407" w:rsidRDefault="00E2495C" w:rsidP="00283945">
      <w:pPr>
        <w:pStyle w:val="ListParagraph"/>
        <w:jc w:val="both"/>
        <w:rPr>
          <w:sz w:val="15"/>
          <w:szCs w:val="15"/>
        </w:rPr>
      </w:pPr>
      <w:r w:rsidRPr="00E80407">
        <w:rPr>
          <w:sz w:val="15"/>
          <w:szCs w:val="15"/>
        </w:rPr>
        <w:t>Vite utgår inte vid oplanerad frånvaro, ersättning för uppdraget ska dock reduceras i förhållande till frånvaron.</w:t>
      </w:r>
    </w:p>
    <w:p w14:paraId="20003965" w14:textId="2912888E" w:rsidR="00DE05A2" w:rsidRPr="00E80407" w:rsidRDefault="00DE05A2" w:rsidP="00283945">
      <w:pPr>
        <w:pStyle w:val="ListParagraph"/>
        <w:jc w:val="both"/>
        <w:rPr>
          <w:sz w:val="15"/>
          <w:szCs w:val="15"/>
        </w:rPr>
      </w:pPr>
    </w:p>
    <w:p w14:paraId="43A6950F" w14:textId="77777777" w:rsidR="00321007" w:rsidRPr="00E80407" w:rsidRDefault="00321007" w:rsidP="00153057">
      <w:pPr>
        <w:pStyle w:val="ListParagraph"/>
        <w:numPr>
          <w:ilvl w:val="0"/>
          <w:numId w:val="19"/>
        </w:numPr>
        <w:jc w:val="both"/>
        <w:rPr>
          <w:b/>
          <w:sz w:val="15"/>
          <w:szCs w:val="15"/>
        </w:rPr>
      </w:pPr>
      <w:r w:rsidRPr="00E80407">
        <w:rPr>
          <w:b/>
          <w:sz w:val="15"/>
          <w:szCs w:val="15"/>
        </w:rPr>
        <w:t>Tidrapportering</w:t>
      </w:r>
    </w:p>
    <w:p w14:paraId="116A9CB6" w14:textId="4095204C" w:rsidR="00F6796A" w:rsidRPr="00E80407" w:rsidRDefault="00321007" w:rsidP="00983EC3">
      <w:pPr>
        <w:pStyle w:val="ListParagraph"/>
        <w:jc w:val="both"/>
        <w:rPr>
          <w:sz w:val="15"/>
          <w:szCs w:val="15"/>
        </w:rPr>
      </w:pPr>
      <w:r w:rsidRPr="00E80407">
        <w:rPr>
          <w:sz w:val="15"/>
          <w:szCs w:val="15"/>
        </w:rPr>
        <w:t>Konsult ska, om KTH så begär, rapportera nedlagd arbetstid och genomfört arbete till kontaktperson på KTH.</w:t>
      </w:r>
      <w:r w:rsidR="00F6796A" w:rsidRPr="00E80407">
        <w:rPr>
          <w:sz w:val="15"/>
          <w:szCs w:val="15"/>
        </w:rPr>
        <w:t xml:space="preserve"> </w:t>
      </w:r>
    </w:p>
    <w:p w14:paraId="260E0FC8" w14:textId="77777777" w:rsidR="00321007" w:rsidRPr="00E80407" w:rsidRDefault="00321007" w:rsidP="00DE05A2">
      <w:pPr>
        <w:pStyle w:val="ListParagraph"/>
        <w:jc w:val="both"/>
        <w:rPr>
          <w:sz w:val="15"/>
          <w:szCs w:val="15"/>
        </w:rPr>
      </w:pPr>
    </w:p>
    <w:p w14:paraId="04803F81" w14:textId="7ED85434" w:rsidR="00321007" w:rsidRPr="00E80407" w:rsidRDefault="00AA1D12" w:rsidP="00153057">
      <w:pPr>
        <w:pStyle w:val="ListParagraph"/>
        <w:numPr>
          <w:ilvl w:val="0"/>
          <w:numId w:val="19"/>
        </w:numPr>
        <w:jc w:val="both"/>
        <w:rPr>
          <w:b/>
          <w:sz w:val="15"/>
          <w:szCs w:val="15"/>
        </w:rPr>
      </w:pPr>
      <w:r w:rsidRPr="00E80407">
        <w:rPr>
          <w:b/>
          <w:sz w:val="15"/>
          <w:szCs w:val="15"/>
        </w:rPr>
        <w:t>KTH-</w:t>
      </w:r>
      <w:r w:rsidR="00321007" w:rsidRPr="00E80407">
        <w:rPr>
          <w:b/>
          <w:sz w:val="15"/>
          <w:szCs w:val="15"/>
        </w:rPr>
        <w:t>material</w:t>
      </w:r>
    </w:p>
    <w:p w14:paraId="4710F528" w14:textId="77777777" w:rsidR="00321007" w:rsidRPr="00E80407" w:rsidRDefault="00321007" w:rsidP="00283945">
      <w:pPr>
        <w:pStyle w:val="ListParagraph"/>
        <w:jc w:val="both"/>
        <w:rPr>
          <w:sz w:val="15"/>
          <w:szCs w:val="15"/>
        </w:rPr>
      </w:pPr>
      <w:r w:rsidRPr="00E80407">
        <w:rPr>
          <w:sz w:val="15"/>
          <w:szCs w:val="15"/>
        </w:rPr>
        <w:t>Tillhandahållande av arbetsmaterial för genomförande av uppdrag.</w:t>
      </w:r>
      <w:r w:rsidRPr="00E80407">
        <w:rPr>
          <w:sz w:val="15"/>
          <w:szCs w:val="15"/>
        </w:rPr>
        <w:br/>
        <w:t xml:space="preserve">KTH tillhandahåller där det är tillämpligt, utan särskild ersättning, </w:t>
      </w:r>
      <w:r w:rsidRPr="00E80407">
        <w:rPr>
          <w:sz w:val="15"/>
          <w:szCs w:val="15"/>
        </w:rPr>
        <w:t>nödvändigt material, för uppdragets utförande till konsult, till exempel:</w:t>
      </w:r>
    </w:p>
    <w:p w14:paraId="7099C955" w14:textId="77777777" w:rsidR="00321007" w:rsidRPr="00E80407" w:rsidRDefault="00321007" w:rsidP="00283945">
      <w:pPr>
        <w:pStyle w:val="ListParagraph"/>
        <w:numPr>
          <w:ilvl w:val="0"/>
          <w:numId w:val="22"/>
        </w:numPr>
        <w:jc w:val="both"/>
        <w:rPr>
          <w:sz w:val="15"/>
          <w:szCs w:val="15"/>
        </w:rPr>
      </w:pPr>
      <w:r w:rsidRPr="00E80407">
        <w:rPr>
          <w:sz w:val="15"/>
          <w:szCs w:val="15"/>
        </w:rPr>
        <w:t>Nycklar</w:t>
      </w:r>
    </w:p>
    <w:p w14:paraId="56CDBEDC" w14:textId="77777777" w:rsidR="00321007" w:rsidRPr="00E80407" w:rsidRDefault="00321007" w:rsidP="00283945">
      <w:pPr>
        <w:pStyle w:val="ListParagraph"/>
        <w:numPr>
          <w:ilvl w:val="0"/>
          <w:numId w:val="22"/>
        </w:numPr>
        <w:jc w:val="both"/>
        <w:rPr>
          <w:sz w:val="15"/>
          <w:szCs w:val="15"/>
        </w:rPr>
      </w:pPr>
      <w:r w:rsidRPr="00E80407">
        <w:rPr>
          <w:sz w:val="15"/>
          <w:szCs w:val="15"/>
        </w:rPr>
        <w:t>Inpasseringskort</w:t>
      </w:r>
    </w:p>
    <w:p w14:paraId="2E1FD6DD" w14:textId="77777777" w:rsidR="00321007" w:rsidRPr="00E80407" w:rsidRDefault="00321007" w:rsidP="00283945">
      <w:pPr>
        <w:pStyle w:val="ListParagraph"/>
        <w:jc w:val="both"/>
        <w:rPr>
          <w:sz w:val="15"/>
          <w:szCs w:val="15"/>
        </w:rPr>
      </w:pPr>
      <w:r w:rsidRPr="00E80407">
        <w:rPr>
          <w:sz w:val="15"/>
          <w:szCs w:val="15"/>
        </w:rPr>
        <w:t>Konsulten ska i samband med mottagande av KTH-material underteckna en handling där mottagandet erkänns.</w:t>
      </w:r>
    </w:p>
    <w:p w14:paraId="1682A711" w14:textId="77777777" w:rsidR="00321007" w:rsidRPr="00E80407" w:rsidRDefault="00321007" w:rsidP="00283945">
      <w:pPr>
        <w:pStyle w:val="ListParagraph"/>
        <w:jc w:val="both"/>
        <w:rPr>
          <w:sz w:val="15"/>
          <w:szCs w:val="15"/>
        </w:rPr>
      </w:pPr>
      <w:r w:rsidRPr="00E80407">
        <w:rPr>
          <w:sz w:val="15"/>
          <w:szCs w:val="15"/>
        </w:rPr>
        <w:t>Efter uppdragets slutförande ska KTH-material återlämnas till KTH. Av KTH tillhandahållet material ska förbli KTH:s egendom.</w:t>
      </w:r>
    </w:p>
    <w:p w14:paraId="250FDA68" w14:textId="77777777" w:rsidR="00283945" w:rsidRPr="00E80407" w:rsidRDefault="00321007" w:rsidP="00283945">
      <w:pPr>
        <w:pStyle w:val="ListParagraph"/>
        <w:jc w:val="both"/>
        <w:rPr>
          <w:sz w:val="15"/>
          <w:szCs w:val="15"/>
        </w:rPr>
      </w:pPr>
      <w:r w:rsidRPr="00E80407">
        <w:rPr>
          <w:sz w:val="15"/>
          <w:szCs w:val="15"/>
        </w:rPr>
        <w:t>Nycklar, passerkort, dator mm ska förvaras och hanteras på ett säkert och ansvarsfullt sätt. Förlust av nycklar, inpasseringskort, dator mm ska meddelas KTH omgående.</w:t>
      </w:r>
    </w:p>
    <w:p w14:paraId="2D4FF54B" w14:textId="242E909D" w:rsidR="00321007" w:rsidRPr="00E80407" w:rsidRDefault="00321007" w:rsidP="00283945">
      <w:pPr>
        <w:pStyle w:val="ListParagraph"/>
        <w:jc w:val="both"/>
        <w:rPr>
          <w:sz w:val="15"/>
          <w:szCs w:val="15"/>
        </w:rPr>
      </w:pPr>
    </w:p>
    <w:p w14:paraId="6F8207F9" w14:textId="77777777" w:rsidR="00321007" w:rsidRPr="00E80407" w:rsidRDefault="00321007" w:rsidP="00153057">
      <w:pPr>
        <w:pStyle w:val="ListParagraph"/>
        <w:numPr>
          <w:ilvl w:val="0"/>
          <w:numId w:val="19"/>
        </w:numPr>
        <w:jc w:val="both"/>
        <w:rPr>
          <w:b/>
          <w:sz w:val="15"/>
          <w:szCs w:val="15"/>
        </w:rPr>
      </w:pPr>
      <w:r w:rsidRPr="00E80407">
        <w:rPr>
          <w:b/>
          <w:sz w:val="15"/>
          <w:szCs w:val="15"/>
        </w:rPr>
        <w:t>Fakturering</w:t>
      </w:r>
      <w:r w:rsidR="00937E6A" w:rsidRPr="00E80407">
        <w:rPr>
          <w:b/>
          <w:sz w:val="15"/>
          <w:szCs w:val="15"/>
        </w:rPr>
        <w:t>s- och b</w:t>
      </w:r>
      <w:r w:rsidRPr="00E80407">
        <w:rPr>
          <w:b/>
          <w:sz w:val="15"/>
          <w:szCs w:val="15"/>
        </w:rPr>
        <w:t>etalningsvillkor</w:t>
      </w:r>
    </w:p>
    <w:p w14:paraId="6A78D178" w14:textId="77777777" w:rsidR="00937E6A" w:rsidRPr="00E80407" w:rsidRDefault="00937E6A" w:rsidP="00283945">
      <w:pPr>
        <w:pStyle w:val="ListParagraph"/>
        <w:jc w:val="both"/>
        <w:rPr>
          <w:sz w:val="15"/>
          <w:szCs w:val="15"/>
        </w:rPr>
      </w:pPr>
      <w:r w:rsidRPr="00E80407">
        <w:rPr>
          <w:sz w:val="15"/>
          <w:szCs w:val="15"/>
        </w:rPr>
        <w:t>KTH använder sig av elektronisk inköp- och fakturahantering. Det är krav på att fakturor ska skickas elektroniskt till offentlig sektor.</w:t>
      </w:r>
    </w:p>
    <w:p w14:paraId="3808C5BB" w14:textId="77777777" w:rsidR="00937E6A" w:rsidRPr="00E80407" w:rsidRDefault="00937E6A" w:rsidP="00283945">
      <w:pPr>
        <w:pStyle w:val="ListParagraph"/>
        <w:jc w:val="both"/>
        <w:rPr>
          <w:sz w:val="15"/>
          <w:szCs w:val="15"/>
        </w:rPr>
      </w:pPr>
      <w:r w:rsidRPr="00E80407">
        <w:rPr>
          <w:sz w:val="15"/>
          <w:szCs w:val="15"/>
        </w:rPr>
        <w:t xml:space="preserve">Se information under länken </w:t>
      </w:r>
      <w:hyperlink r:id="rId12" w:history="1">
        <w:r w:rsidRPr="00E80407">
          <w:rPr>
            <w:rStyle w:val="Hyperlink"/>
            <w:sz w:val="15"/>
            <w:szCs w:val="15"/>
          </w:rPr>
          <w:t>https://www.digg.se/kunskap-och-stod/e-handel/lag-forordning-och-foreskrifter/for-dig-som-ar-leverantor-till-offentliga-aktorer</w:t>
        </w:r>
      </w:hyperlink>
    </w:p>
    <w:p w14:paraId="4C33D19E" w14:textId="77777777" w:rsidR="00283945" w:rsidRPr="00E80407" w:rsidRDefault="00937E6A" w:rsidP="00283945">
      <w:pPr>
        <w:pStyle w:val="ListParagraph"/>
        <w:jc w:val="both"/>
        <w:rPr>
          <w:sz w:val="15"/>
          <w:szCs w:val="15"/>
        </w:rPr>
      </w:pPr>
      <w:r w:rsidRPr="00E80407">
        <w:rPr>
          <w:sz w:val="15"/>
          <w:szCs w:val="15"/>
        </w:rPr>
        <w:t>PDF-faktura via mejl klassas inte som elektronisk faktura.</w:t>
      </w:r>
    </w:p>
    <w:p w14:paraId="4396684E" w14:textId="2B876D78" w:rsidR="00937E6A" w:rsidRPr="00E80407" w:rsidRDefault="00937E6A" w:rsidP="00283945">
      <w:pPr>
        <w:pStyle w:val="ListParagraph"/>
        <w:jc w:val="both"/>
        <w:rPr>
          <w:sz w:val="15"/>
          <w:szCs w:val="15"/>
        </w:rPr>
      </w:pPr>
      <w:r w:rsidRPr="00E80407">
        <w:rPr>
          <w:sz w:val="15"/>
          <w:szCs w:val="15"/>
        </w:rPr>
        <w:t>Pappersfaktura är inte tillåtet.</w:t>
      </w:r>
    </w:p>
    <w:p w14:paraId="4CDA88B0" w14:textId="77777777" w:rsidR="00937E6A" w:rsidRPr="00E80407" w:rsidRDefault="00937E6A" w:rsidP="00283945">
      <w:pPr>
        <w:pStyle w:val="ListParagraph"/>
        <w:jc w:val="both"/>
        <w:rPr>
          <w:sz w:val="15"/>
          <w:szCs w:val="15"/>
        </w:rPr>
      </w:pPr>
      <w:r w:rsidRPr="00E80407">
        <w:rPr>
          <w:sz w:val="15"/>
          <w:szCs w:val="15"/>
        </w:rPr>
        <w:t>Övrigt:</w:t>
      </w:r>
    </w:p>
    <w:p w14:paraId="76BAB88D" w14:textId="77777777" w:rsidR="00937E6A" w:rsidRPr="00E80407" w:rsidRDefault="00937E6A" w:rsidP="00283945">
      <w:pPr>
        <w:pStyle w:val="ListParagraph"/>
        <w:jc w:val="both"/>
        <w:rPr>
          <w:sz w:val="15"/>
          <w:szCs w:val="15"/>
        </w:rPr>
      </w:pPr>
      <w:r w:rsidRPr="00E80407">
        <w:rPr>
          <w:sz w:val="15"/>
          <w:szCs w:val="15"/>
        </w:rPr>
        <w:t>PEPPOL BIS Billing 3.0 ska användas. KTH:s PEPPOL-id är 0007:</w:t>
      </w:r>
      <w:proofErr w:type="gramStart"/>
      <w:r w:rsidRPr="00E80407">
        <w:rPr>
          <w:sz w:val="15"/>
          <w:szCs w:val="15"/>
        </w:rPr>
        <w:t>2021003054</w:t>
      </w:r>
      <w:proofErr w:type="gramEnd"/>
    </w:p>
    <w:p w14:paraId="7446F9A6" w14:textId="77777777" w:rsidR="00937E6A" w:rsidRPr="00E80407" w:rsidRDefault="00937E6A" w:rsidP="00283945">
      <w:pPr>
        <w:pStyle w:val="ListParagraph"/>
        <w:jc w:val="both"/>
        <w:rPr>
          <w:sz w:val="15"/>
          <w:szCs w:val="15"/>
        </w:rPr>
      </w:pPr>
      <w:r w:rsidRPr="00E80407">
        <w:rPr>
          <w:sz w:val="15"/>
          <w:szCs w:val="15"/>
        </w:rPr>
        <w:t>30 dagars betalningsvillkor</w:t>
      </w:r>
    </w:p>
    <w:p w14:paraId="61E43BE1" w14:textId="77777777" w:rsidR="00937E6A" w:rsidRPr="00E80407" w:rsidRDefault="00937E6A" w:rsidP="00283945">
      <w:pPr>
        <w:pStyle w:val="ListParagraph"/>
        <w:jc w:val="both"/>
        <w:rPr>
          <w:sz w:val="15"/>
          <w:szCs w:val="15"/>
        </w:rPr>
      </w:pPr>
      <w:r w:rsidRPr="00E80407">
        <w:rPr>
          <w:sz w:val="15"/>
          <w:szCs w:val="15"/>
        </w:rPr>
        <w:t>Fakturareferens ska framgå i fakturan</w:t>
      </w:r>
    </w:p>
    <w:p w14:paraId="0BDA1A35" w14:textId="77777777" w:rsidR="00937E6A" w:rsidRPr="00E80407" w:rsidRDefault="00937E6A" w:rsidP="00283945">
      <w:pPr>
        <w:pStyle w:val="ListParagraph"/>
        <w:jc w:val="both"/>
        <w:rPr>
          <w:sz w:val="15"/>
          <w:szCs w:val="15"/>
        </w:rPr>
      </w:pPr>
      <w:r w:rsidRPr="00E80407">
        <w:rPr>
          <w:sz w:val="15"/>
          <w:szCs w:val="15"/>
        </w:rPr>
        <w:t>Fakturering görs efter leverans av vara/tjänst</w:t>
      </w:r>
    </w:p>
    <w:p w14:paraId="492C1335" w14:textId="77777777" w:rsidR="00937E6A" w:rsidRPr="00E80407" w:rsidRDefault="00937E6A" w:rsidP="00283945">
      <w:pPr>
        <w:pStyle w:val="ListParagraph"/>
        <w:jc w:val="both"/>
        <w:rPr>
          <w:sz w:val="15"/>
          <w:szCs w:val="15"/>
        </w:rPr>
      </w:pPr>
      <w:r w:rsidRPr="00E80407">
        <w:rPr>
          <w:sz w:val="15"/>
          <w:szCs w:val="15"/>
        </w:rPr>
        <w:t xml:space="preserve">Villkor som ensidigt lagts till fakturan av Leverantören är inte bindande för KTH </w:t>
      </w:r>
    </w:p>
    <w:p w14:paraId="3AE9BBAF" w14:textId="77777777" w:rsidR="00937E6A" w:rsidRPr="00E80407" w:rsidRDefault="00937E6A" w:rsidP="00283945">
      <w:pPr>
        <w:pStyle w:val="ListParagraph"/>
        <w:jc w:val="both"/>
        <w:rPr>
          <w:sz w:val="15"/>
          <w:szCs w:val="15"/>
        </w:rPr>
      </w:pPr>
      <w:r w:rsidRPr="00E80407">
        <w:rPr>
          <w:sz w:val="15"/>
          <w:szCs w:val="15"/>
        </w:rPr>
        <w:t>Ränta utgår enligt räntelagen vid dröjsmål med betalning</w:t>
      </w:r>
    </w:p>
    <w:p w14:paraId="33D203D7" w14:textId="77777777" w:rsidR="00937E6A" w:rsidRPr="00E80407" w:rsidRDefault="00937E6A" w:rsidP="00283945">
      <w:pPr>
        <w:pStyle w:val="ListParagraph"/>
        <w:jc w:val="both"/>
        <w:rPr>
          <w:sz w:val="15"/>
          <w:szCs w:val="15"/>
        </w:rPr>
      </w:pPr>
      <w:r w:rsidRPr="00E80407">
        <w:rPr>
          <w:sz w:val="15"/>
          <w:szCs w:val="15"/>
        </w:rPr>
        <w:t>Inga extra avgifter får förekomma.</w:t>
      </w:r>
    </w:p>
    <w:p w14:paraId="1FD09006" w14:textId="77777777" w:rsidR="00937E6A" w:rsidRPr="00E80407" w:rsidRDefault="00937E6A" w:rsidP="00283945">
      <w:pPr>
        <w:pStyle w:val="ListParagraph"/>
        <w:jc w:val="both"/>
        <w:rPr>
          <w:rStyle w:val="Hyperlink"/>
          <w:sz w:val="15"/>
          <w:szCs w:val="15"/>
        </w:rPr>
      </w:pPr>
      <w:r w:rsidRPr="00E80407">
        <w:rPr>
          <w:sz w:val="15"/>
          <w:szCs w:val="15"/>
        </w:rPr>
        <w:t xml:space="preserve">Läs mer här: </w:t>
      </w:r>
      <w:hyperlink r:id="rId13" w:history="1">
        <w:r w:rsidRPr="00E80407">
          <w:rPr>
            <w:rStyle w:val="Hyperlink"/>
            <w:sz w:val="15"/>
            <w:szCs w:val="15"/>
          </w:rPr>
          <w:t>Faktura och betalning KTH | KTH</w:t>
        </w:r>
      </w:hyperlink>
    </w:p>
    <w:p w14:paraId="1F320B86" w14:textId="77777777" w:rsidR="008B6DFE" w:rsidRPr="00E80407" w:rsidRDefault="008B6DFE" w:rsidP="00DE05A2">
      <w:pPr>
        <w:pStyle w:val="ListParagraph"/>
        <w:jc w:val="both"/>
        <w:rPr>
          <w:sz w:val="15"/>
          <w:szCs w:val="15"/>
        </w:rPr>
      </w:pPr>
    </w:p>
    <w:p w14:paraId="5DF0E93F" w14:textId="77777777" w:rsidR="00321007" w:rsidRPr="00E80407" w:rsidRDefault="00321007" w:rsidP="00153057">
      <w:pPr>
        <w:pStyle w:val="ListParagraph"/>
        <w:numPr>
          <w:ilvl w:val="0"/>
          <w:numId w:val="19"/>
        </w:numPr>
        <w:jc w:val="both"/>
        <w:rPr>
          <w:b/>
          <w:sz w:val="15"/>
          <w:szCs w:val="15"/>
        </w:rPr>
      </w:pPr>
      <w:r w:rsidRPr="00E80407">
        <w:rPr>
          <w:b/>
          <w:sz w:val="15"/>
          <w:szCs w:val="15"/>
        </w:rPr>
        <w:t>Underleverantörer/anlitande av underkonsult</w:t>
      </w:r>
    </w:p>
    <w:p w14:paraId="7E31005B" w14:textId="77777777" w:rsidR="00321007" w:rsidRPr="00E80407" w:rsidRDefault="00321007" w:rsidP="00DE05A2">
      <w:pPr>
        <w:pStyle w:val="ListParagraph"/>
        <w:jc w:val="both"/>
        <w:rPr>
          <w:sz w:val="15"/>
          <w:szCs w:val="15"/>
        </w:rPr>
      </w:pPr>
      <w:r w:rsidRPr="00E80407">
        <w:rPr>
          <w:sz w:val="15"/>
          <w:szCs w:val="15"/>
        </w:rPr>
        <w:t>Leverantör äger rätt att anlita underkonsult för att utföra del av uppdraget, efter att först ha inhämtat skriftligt medgivande från Avtalsansvarig vid KTH. Leverantör ansvarar för underkonsults arbete såsom för egen konsults arbete. Ersättning för underkonsults arbete får inte överstiga den överenskomna ersättningen till Leverantör/konsult som regleras i detta Avtal.</w:t>
      </w:r>
    </w:p>
    <w:p w14:paraId="38E7A788" w14:textId="77777777" w:rsidR="00321007" w:rsidRPr="00E80407" w:rsidRDefault="00321007" w:rsidP="00937E6A">
      <w:pPr>
        <w:pStyle w:val="ListParagraph"/>
        <w:rPr>
          <w:sz w:val="15"/>
          <w:szCs w:val="15"/>
        </w:rPr>
      </w:pPr>
      <w:r w:rsidRPr="00E80407">
        <w:rPr>
          <w:sz w:val="15"/>
          <w:szCs w:val="15"/>
        </w:rPr>
        <w:t>KTH faktureras av Leverantör.</w:t>
      </w:r>
      <w:r w:rsidRPr="00E80407">
        <w:rPr>
          <w:sz w:val="15"/>
          <w:szCs w:val="15"/>
        </w:rPr>
        <w:br/>
      </w:r>
    </w:p>
    <w:p w14:paraId="2A12EBA4" w14:textId="77777777" w:rsidR="00321007" w:rsidRPr="00E80407" w:rsidRDefault="00321007" w:rsidP="00153057">
      <w:pPr>
        <w:pStyle w:val="ListParagraph"/>
        <w:numPr>
          <w:ilvl w:val="0"/>
          <w:numId w:val="19"/>
        </w:numPr>
        <w:jc w:val="both"/>
        <w:rPr>
          <w:b/>
          <w:sz w:val="15"/>
          <w:szCs w:val="15"/>
        </w:rPr>
      </w:pPr>
      <w:r w:rsidRPr="00E80407">
        <w:rPr>
          <w:b/>
          <w:sz w:val="15"/>
          <w:szCs w:val="15"/>
        </w:rPr>
        <w:t>Personuppgifter</w:t>
      </w:r>
    </w:p>
    <w:p w14:paraId="37CF4192" w14:textId="77777777" w:rsidR="00BA60E0" w:rsidRPr="00E80407" w:rsidRDefault="00321007" w:rsidP="00BA60E0">
      <w:pPr>
        <w:ind w:left="720"/>
        <w:rPr>
          <w:sz w:val="15"/>
          <w:szCs w:val="15"/>
        </w:rPr>
      </w:pPr>
      <w:r w:rsidRPr="00E80407">
        <w:rPr>
          <w:sz w:val="15"/>
          <w:szCs w:val="15"/>
        </w:rPr>
        <w:t>Leverantören ska behandla personuppgifter i enlighet med gällande lagstiftning. Vid behov ska, på KTH:s begäran, ett personuppgiftsbiträdesavtal upprättas och undertecknas mellan parterna.</w:t>
      </w:r>
      <w:r w:rsidR="00BA60E0" w:rsidRPr="00E80407">
        <w:rPr>
          <w:sz w:val="15"/>
          <w:szCs w:val="15"/>
        </w:rPr>
        <w:t xml:space="preserve"> De personuppgifter som respektive part behöver behandla för administration av Avtalet, såsom kontaktuppgifter för motpartens avtalsadministratör, kontaktperson och/eller signatär, ska anses utlämnade till motparten för fortsatt behandling under motpartens personuppgiftsansvar.</w:t>
      </w:r>
    </w:p>
    <w:p w14:paraId="25135149" w14:textId="77777777" w:rsidR="00BA60E0" w:rsidRPr="00E80407" w:rsidRDefault="00BA60E0" w:rsidP="00BA60E0">
      <w:pPr>
        <w:ind w:left="720"/>
        <w:rPr>
          <w:sz w:val="15"/>
          <w:szCs w:val="15"/>
        </w:rPr>
      </w:pPr>
      <w:r w:rsidRPr="00E80407">
        <w:rPr>
          <w:sz w:val="15"/>
          <w:szCs w:val="15"/>
        </w:rPr>
        <w:t>Respektive part åtar sig att behandla på detta sätt mottagna personuppgifter konfidentiellt och att inte ytterligare behandla dem för annat ändamål än administration och fullgörande av Avtalet.</w:t>
      </w:r>
    </w:p>
    <w:p w14:paraId="32E6C740" w14:textId="71222FCA" w:rsidR="00321007" w:rsidRPr="00E80407" w:rsidRDefault="00321007" w:rsidP="00283945">
      <w:pPr>
        <w:pStyle w:val="ListParagraph"/>
        <w:jc w:val="both"/>
        <w:rPr>
          <w:sz w:val="15"/>
          <w:szCs w:val="15"/>
        </w:rPr>
      </w:pPr>
    </w:p>
    <w:p w14:paraId="5A769F77" w14:textId="77777777" w:rsidR="00321007" w:rsidRPr="00E80407" w:rsidRDefault="00321007" w:rsidP="00DE05A2">
      <w:pPr>
        <w:pStyle w:val="ListParagraph"/>
        <w:jc w:val="both"/>
        <w:rPr>
          <w:sz w:val="15"/>
          <w:szCs w:val="15"/>
        </w:rPr>
      </w:pPr>
    </w:p>
    <w:p w14:paraId="13D0816F" w14:textId="77777777" w:rsidR="00321007" w:rsidRPr="00E80407" w:rsidRDefault="00321007" w:rsidP="00153057">
      <w:pPr>
        <w:pStyle w:val="ListParagraph"/>
        <w:numPr>
          <w:ilvl w:val="0"/>
          <w:numId w:val="19"/>
        </w:numPr>
        <w:jc w:val="both"/>
        <w:rPr>
          <w:b/>
          <w:sz w:val="15"/>
          <w:szCs w:val="15"/>
        </w:rPr>
      </w:pPr>
      <w:r w:rsidRPr="00E80407">
        <w:rPr>
          <w:b/>
          <w:sz w:val="15"/>
          <w:szCs w:val="15"/>
        </w:rPr>
        <w:t>Äganderätt och nyttjanderätt</w:t>
      </w:r>
      <w:r w:rsidR="008B6DFE" w:rsidRPr="00E80407">
        <w:rPr>
          <w:b/>
          <w:sz w:val="15"/>
          <w:szCs w:val="15"/>
        </w:rPr>
        <w:t xml:space="preserve"> </w:t>
      </w:r>
      <w:r w:rsidRPr="00E80407">
        <w:rPr>
          <w:b/>
          <w:sz w:val="15"/>
          <w:szCs w:val="15"/>
        </w:rPr>
        <w:t>(Upphovsrätt)</w:t>
      </w:r>
    </w:p>
    <w:p w14:paraId="410233B3" w14:textId="77777777" w:rsidR="00321007" w:rsidRPr="00E80407" w:rsidRDefault="00321007" w:rsidP="00DE05A2">
      <w:pPr>
        <w:pStyle w:val="ListParagraph"/>
        <w:jc w:val="both"/>
        <w:rPr>
          <w:sz w:val="15"/>
          <w:szCs w:val="15"/>
        </w:rPr>
      </w:pPr>
      <w:r w:rsidRPr="00E80407">
        <w:rPr>
          <w:sz w:val="15"/>
          <w:szCs w:val="15"/>
        </w:rPr>
        <w:t>KTH har ägande- och nyttjanderätt till det arbete som utförs inom ramen för detta uppdrag, samt eventuellt material som produceras med anledning av Uppdraget. Detta innebär </w:t>
      </w:r>
      <w:proofErr w:type="gramStart"/>
      <w:r w:rsidRPr="00E80407">
        <w:rPr>
          <w:sz w:val="15"/>
          <w:szCs w:val="15"/>
        </w:rPr>
        <w:t>bl.a.</w:t>
      </w:r>
      <w:proofErr w:type="gramEnd"/>
      <w:r w:rsidRPr="00E80407">
        <w:rPr>
          <w:sz w:val="15"/>
          <w:szCs w:val="15"/>
        </w:rPr>
        <w:t xml:space="preserve">  att KTH för universitetets räkning fritt får nyttja arbetsresultatet och därvid överlåta upphovsrätten till annan. Leverantören eller dess konsulter får inte publicera eller på annat sätt utnyttja utredningsmaterial eller arbetsresultat utan </w:t>
      </w:r>
      <w:proofErr w:type="gramStart"/>
      <w:r w:rsidRPr="00E80407">
        <w:rPr>
          <w:sz w:val="15"/>
          <w:szCs w:val="15"/>
        </w:rPr>
        <w:t>KTHs</w:t>
      </w:r>
      <w:proofErr w:type="gramEnd"/>
      <w:r w:rsidRPr="00E80407">
        <w:rPr>
          <w:sz w:val="15"/>
          <w:szCs w:val="15"/>
        </w:rPr>
        <w:t xml:space="preserve"> skriftliga godkännande. Godkännandet ska inhämtas i förväg. </w:t>
      </w:r>
    </w:p>
    <w:p w14:paraId="0C863299" w14:textId="77777777" w:rsidR="00DE05A2" w:rsidRPr="00E80407" w:rsidRDefault="00DE05A2" w:rsidP="00DE05A2">
      <w:pPr>
        <w:pStyle w:val="ListParagraph"/>
        <w:jc w:val="both"/>
        <w:rPr>
          <w:sz w:val="15"/>
          <w:szCs w:val="15"/>
        </w:rPr>
      </w:pPr>
    </w:p>
    <w:p w14:paraId="134FBF86" w14:textId="77777777" w:rsidR="00321007" w:rsidRPr="00E80407" w:rsidRDefault="00321007" w:rsidP="00153057">
      <w:pPr>
        <w:pStyle w:val="ListParagraph"/>
        <w:numPr>
          <w:ilvl w:val="0"/>
          <w:numId w:val="19"/>
        </w:numPr>
        <w:jc w:val="both"/>
        <w:rPr>
          <w:b/>
          <w:sz w:val="15"/>
          <w:szCs w:val="15"/>
        </w:rPr>
      </w:pPr>
      <w:r w:rsidRPr="00E80407">
        <w:rPr>
          <w:b/>
          <w:sz w:val="15"/>
          <w:szCs w:val="15"/>
        </w:rPr>
        <w:t>Intrång i annans rätt</w:t>
      </w:r>
    </w:p>
    <w:p w14:paraId="75732409" w14:textId="77777777" w:rsidR="00321007" w:rsidRPr="00E80407" w:rsidRDefault="00321007" w:rsidP="00283945">
      <w:pPr>
        <w:pStyle w:val="ListParagraph"/>
        <w:jc w:val="both"/>
        <w:rPr>
          <w:sz w:val="15"/>
          <w:szCs w:val="15"/>
        </w:rPr>
      </w:pPr>
      <w:r w:rsidRPr="00E80407">
        <w:rPr>
          <w:sz w:val="15"/>
          <w:szCs w:val="15"/>
        </w:rPr>
        <w:t>Leverantören garanterar att Uppdragets Resultat fritt kan användas av KTH och att det inte belastas av eller gör intrång i tredje mans tillkommande immateriella rättighet.</w:t>
      </w:r>
    </w:p>
    <w:p w14:paraId="57D485A4" w14:textId="77777777" w:rsidR="00283945" w:rsidRPr="00E80407" w:rsidRDefault="00321007" w:rsidP="00283945">
      <w:pPr>
        <w:pStyle w:val="ListParagraph"/>
        <w:jc w:val="both"/>
        <w:rPr>
          <w:sz w:val="15"/>
          <w:szCs w:val="15"/>
        </w:rPr>
      </w:pPr>
      <w:r w:rsidRPr="00E80407">
        <w:rPr>
          <w:sz w:val="15"/>
          <w:szCs w:val="15"/>
        </w:rPr>
        <w:lastRenderedPageBreak/>
        <w:t>Leverantören åtar sig att ersätta KTH för de ersättningar och skadestånd som KTH genom överenskommelse, förlikning eller dom åläggs att erlägga för intrång i tredje mans immateriella rättighet (inklusive handling som strider mot lagen om skydd för företagshemligheter) genom KTH:s nyttjande av Resultaten.</w:t>
      </w:r>
    </w:p>
    <w:p w14:paraId="5D3A5B7D" w14:textId="18A112EF" w:rsidR="00321007" w:rsidRPr="00E80407" w:rsidRDefault="00321007" w:rsidP="00283945">
      <w:pPr>
        <w:pStyle w:val="ListParagraph"/>
        <w:jc w:val="both"/>
        <w:rPr>
          <w:sz w:val="15"/>
          <w:szCs w:val="15"/>
        </w:rPr>
      </w:pPr>
      <w:r w:rsidRPr="00E80407">
        <w:rPr>
          <w:sz w:val="15"/>
          <w:szCs w:val="15"/>
        </w:rPr>
        <w:t>Vid ett påstående om intrång ska Leverantören på egen bekostnad föra tvisten och talan för KTH, samt på egen bekostnad antingen tillförsäkra KTH rätten till fortsatt nyttjande av Resultaten eller byta ut omtvistad del av Resultaten. Om fortsatt nyttjande av Resultaten kan ske under pågående tvist ska Leverantören ställa säkerhet för den förlust som KTH kan komma att drabbas av med anledning av påstått intrång.</w:t>
      </w:r>
      <w:r w:rsidRPr="00E80407">
        <w:rPr>
          <w:sz w:val="15"/>
          <w:szCs w:val="15"/>
        </w:rPr>
        <w:br/>
      </w:r>
      <w:r w:rsidRPr="00E80407">
        <w:rPr>
          <w:sz w:val="15"/>
          <w:szCs w:val="15"/>
        </w:rPr>
        <w:br/>
        <w:t>KTH äger rätt att häva detta avtal om Leverantören inte avhjälper immaterialrättsligt fel inom skälig tid från den tidpunkt då Leverantören erhållit meddelande från KTH om påstått intrång i tredje mans immateriella rättighet. Utöver ersättning för belopp som KTH tvingats utge till tredje man äger KTH rätt till ersättning för all annan förlust som uppkommer till följd av intrång i tredje mans immateriella rättighet.</w:t>
      </w:r>
      <w:r w:rsidRPr="00E80407">
        <w:rPr>
          <w:sz w:val="15"/>
          <w:szCs w:val="15"/>
        </w:rPr>
        <w:br/>
      </w:r>
    </w:p>
    <w:p w14:paraId="22D4ABBE" w14:textId="77777777" w:rsidR="00321007" w:rsidRPr="00E80407" w:rsidRDefault="00321007" w:rsidP="00153057">
      <w:pPr>
        <w:pStyle w:val="ListParagraph"/>
        <w:numPr>
          <w:ilvl w:val="0"/>
          <w:numId w:val="19"/>
        </w:numPr>
        <w:jc w:val="both"/>
        <w:rPr>
          <w:b/>
          <w:sz w:val="15"/>
          <w:szCs w:val="15"/>
        </w:rPr>
      </w:pPr>
      <w:r w:rsidRPr="00E80407">
        <w:rPr>
          <w:b/>
          <w:sz w:val="15"/>
          <w:szCs w:val="15"/>
        </w:rPr>
        <w:t>Användande av KTH:s namn</w:t>
      </w:r>
    </w:p>
    <w:p w14:paraId="53CD6FFD" w14:textId="77777777" w:rsidR="00321007" w:rsidRPr="00E80407" w:rsidRDefault="00321007" w:rsidP="00DE05A2">
      <w:pPr>
        <w:pStyle w:val="ListParagraph"/>
        <w:jc w:val="both"/>
        <w:rPr>
          <w:sz w:val="15"/>
          <w:szCs w:val="15"/>
        </w:rPr>
      </w:pPr>
      <w:r w:rsidRPr="00E80407">
        <w:rPr>
          <w:sz w:val="15"/>
          <w:szCs w:val="15"/>
        </w:rPr>
        <w:t xml:space="preserve">Leverantören får inte använda KTH:s namn utan medgivande från KTH. Medgivande ska inhämtas i förväg, via KTH:s kontaktperson för </w:t>
      </w:r>
      <w:proofErr w:type="gramStart"/>
      <w:r w:rsidRPr="00E80407">
        <w:rPr>
          <w:sz w:val="15"/>
          <w:szCs w:val="15"/>
        </w:rPr>
        <w:t>avtalet,  och</w:t>
      </w:r>
      <w:proofErr w:type="gramEnd"/>
      <w:r w:rsidRPr="00E80407">
        <w:rPr>
          <w:sz w:val="15"/>
          <w:szCs w:val="15"/>
        </w:rPr>
        <w:t xml:space="preserve"> godkännas skriftligt för </w:t>
      </w:r>
      <w:proofErr w:type="gramStart"/>
      <w:r w:rsidRPr="00E80407">
        <w:rPr>
          <w:sz w:val="15"/>
          <w:szCs w:val="15"/>
        </w:rPr>
        <w:t>att  äga</w:t>
      </w:r>
      <w:proofErr w:type="gramEnd"/>
      <w:r w:rsidRPr="00E80407">
        <w:rPr>
          <w:sz w:val="15"/>
          <w:szCs w:val="15"/>
        </w:rPr>
        <w:t xml:space="preserve"> giltighet.</w:t>
      </w:r>
    </w:p>
    <w:p w14:paraId="4F35C520" w14:textId="77777777" w:rsidR="00321007" w:rsidRPr="00E80407" w:rsidRDefault="00321007" w:rsidP="00153057">
      <w:pPr>
        <w:pStyle w:val="ListParagraph"/>
        <w:numPr>
          <w:ilvl w:val="0"/>
          <w:numId w:val="19"/>
        </w:numPr>
        <w:jc w:val="both"/>
        <w:rPr>
          <w:b/>
          <w:sz w:val="15"/>
          <w:szCs w:val="15"/>
        </w:rPr>
      </w:pPr>
      <w:r w:rsidRPr="00E80407">
        <w:rPr>
          <w:b/>
          <w:sz w:val="15"/>
          <w:szCs w:val="15"/>
        </w:rPr>
        <w:t>Sekretess</w:t>
      </w:r>
    </w:p>
    <w:p w14:paraId="5CD847D9" w14:textId="77777777" w:rsidR="00321007" w:rsidRPr="00E80407" w:rsidRDefault="00321007" w:rsidP="00283945">
      <w:pPr>
        <w:pStyle w:val="ListParagraph"/>
        <w:jc w:val="both"/>
        <w:rPr>
          <w:sz w:val="15"/>
          <w:szCs w:val="15"/>
        </w:rPr>
      </w:pPr>
      <w:r w:rsidRPr="00E80407">
        <w:rPr>
          <w:sz w:val="15"/>
          <w:szCs w:val="15"/>
        </w:rPr>
        <w:t>Leverantören är medveten om att KTH är en statlig myndighet och att KTH tillämpar offentlighetsprincipen i enlighet med Tryckfrihetsförordningen och Lag om offentlighet och sekretess samt övrig relevant lagstiftning och interna föreskrifter på området. Sekretess gäller därmed endast i den utsträckning det anges i lag.</w:t>
      </w:r>
    </w:p>
    <w:p w14:paraId="704926E5" w14:textId="77777777" w:rsidR="00321007" w:rsidRPr="00E80407" w:rsidRDefault="00321007" w:rsidP="00283945">
      <w:pPr>
        <w:pStyle w:val="ListParagraph"/>
        <w:jc w:val="both"/>
        <w:rPr>
          <w:sz w:val="15"/>
          <w:szCs w:val="15"/>
        </w:rPr>
      </w:pPr>
      <w:r w:rsidRPr="00E80407">
        <w:rPr>
          <w:sz w:val="15"/>
          <w:szCs w:val="15"/>
        </w:rPr>
        <w:t xml:space="preserve">Bestämmelser om tystnadsplikt i det allmännas verksamhet och om förbud att lämna ut allmänna handlingar finns i offentlighets- och sekretesslagen (SFS 2009:400). Att lagen inte gäller enbart för statligt anställda framgår av dess 2 kap 1 §. </w:t>
      </w:r>
    </w:p>
    <w:p w14:paraId="416621F1" w14:textId="77777777" w:rsidR="00321007" w:rsidRPr="00E80407" w:rsidRDefault="00321007" w:rsidP="00283945">
      <w:pPr>
        <w:pStyle w:val="ListParagraph"/>
        <w:jc w:val="both"/>
        <w:rPr>
          <w:sz w:val="15"/>
          <w:szCs w:val="15"/>
        </w:rPr>
      </w:pPr>
      <w:r w:rsidRPr="00E80407">
        <w:rPr>
          <w:sz w:val="15"/>
          <w:szCs w:val="15"/>
        </w:rPr>
        <w:t xml:space="preserve">Leverantören ansvarar för att medarbetare och eventuella underleverantörer som berörs av detta är informerade samt att denna typ av känslig information inte vidarebefordras till annan part än de som är direkt involverade i uppdraget. Leverantören förbinder sig att göra medarbetare och eventuella underleverantörer som sysselsätts med uppdraget uppmärksamma på gällande bestämmelser om sekretess.       </w:t>
      </w:r>
    </w:p>
    <w:p w14:paraId="0630F30C" w14:textId="77777777" w:rsidR="00321007" w:rsidRPr="00E80407" w:rsidRDefault="00321007" w:rsidP="00283945">
      <w:pPr>
        <w:pStyle w:val="ListParagraph"/>
        <w:jc w:val="both"/>
        <w:rPr>
          <w:sz w:val="15"/>
          <w:szCs w:val="15"/>
        </w:rPr>
      </w:pPr>
      <w:r w:rsidRPr="00E80407">
        <w:rPr>
          <w:sz w:val="15"/>
          <w:szCs w:val="15"/>
        </w:rPr>
        <w:t xml:space="preserve">Om KTH så önskar ska personal som är involverad i uppdraget skriva på en sekretessförbindelse. KTH är ansvarigt för att meddela Leverantören när detta är aktuellt.     </w:t>
      </w:r>
    </w:p>
    <w:p w14:paraId="1EE8B455" w14:textId="77777777" w:rsidR="00321007" w:rsidRPr="00E80407" w:rsidRDefault="00321007" w:rsidP="00283945">
      <w:pPr>
        <w:pStyle w:val="ListParagraph"/>
        <w:jc w:val="both"/>
        <w:rPr>
          <w:sz w:val="15"/>
          <w:szCs w:val="15"/>
        </w:rPr>
      </w:pPr>
      <w:proofErr w:type="spellStart"/>
      <w:r w:rsidRPr="00E80407">
        <w:rPr>
          <w:sz w:val="15"/>
          <w:szCs w:val="15"/>
        </w:rPr>
        <w:t>Sekretesskyldighet</w:t>
      </w:r>
      <w:proofErr w:type="spellEnd"/>
      <w:r w:rsidRPr="00E80407">
        <w:rPr>
          <w:sz w:val="15"/>
          <w:szCs w:val="15"/>
        </w:rPr>
        <w:t xml:space="preserve"> gäller även om Avtalet upphört att gälla.</w:t>
      </w:r>
    </w:p>
    <w:p w14:paraId="605AD15B" w14:textId="77777777" w:rsidR="00321007" w:rsidRPr="00E80407" w:rsidRDefault="00321007" w:rsidP="00283945">
      <w:pPr>
        <w:pStyle w:val="ListParagraph"/>
        <w:jc w:val="both"/>
        <w:rPr>
          <w:sz w:val="15"/>
          <w:szCs w:val="15"/>
        </w:rPr>
      </w:pPr>
    </w:p>
    <w:p w14:paraId="171E7DE8" w14:textId="77777777" w:rsidR="00321007" w:rsidRPr="00E80407" w:rsidRDefault="00321007" w:rsidP="005A5E8A">
      <w:pPr>
        <w:pStyle w:val="ListParagraph"/>
        <w:numPr>
          <w:ilvl w:val="0"/>
          <w:numId w:val="19"/>
        </w:numPr>
        <w:rPr>
          <w:b/>
          <w:sz w:val="15"/>
          <w:szCs w:val="15"/>
        </w:rPr>
      </w:pPr>
      <w:r w:rsidRPr="00E80407">
        <w:rPr>
          <w:b/>
          <w:sz w:val="15"/>
          <w:szCs w:val="15"/>
        </w:rPr>
        <w:t>Uppsägning av avtal eller begränsning av uppdrag</w:t>
      </w:r>
    </w:p>
    <w:p w14:paraId="07D0EBB3" w14:textId="77777777" w:rsidR="00321007" w:rsidRPr="00E80407" w:rsidRDefault="00321007" w:rsidP="00283945">
      <w:pPr>
        <w:pStyle w:val="ListParagraph"/>
        <w:jc w:val="both"/>
        <w:rPr>
          <w:sz w:val="15"/>
          <w:szCs w:val="15"/>
        </w:rPr>
      </w:pPr>
      <w:r w:rsidRPr="00E80407">
        <w:rPr>
          <w:sz w:val="15"/>
          <w:szCs w:val="15"/>
        </w:rPr>
        <w:t xml:space="preserve">KTH kan säga upp avtalet eller begränsa uppdragets omfattning före utgången av den avtalade tiden. Sägs kontraktet upp, utgår ersättning till Leverantör för utfört arbete, nedlagda kostnader och styrkt, nödvändig avvecklingskostnad. </w:t>
      </w:r>
    </w:p>
    <w:p w14:paraId="74EEF144" w14:textId="3618AC85" w:rsidR="00321007" w:rsidRPr="00E80407" w:rsidRDefault="00283945" w:rsidP="00283945">
      <w:pPr>
        <w:pStyle w:val="ListParagraph"/>
        <w:jc w:val="both"/>
        <w:rPr>
          <w:sz w:val="15"/>
          <w:szCs w:val="15"/>
        </w:rPr>
      </w:pPr>
      <w:r w:rsidRPr="00E80407">
        <w:rPr>
          <w:sz w:val="15"/>
          <w:szCs w:val="15"/>
        </w:rPr>
        <w:t>Om Leverantör finner att denne</w:t>
      </w:r>
      <w:r w:rsidR="00321007" w:rsidRPr="00E80407">
        <w:rPr>
          <w:sz w:val="15"/>
          <w:szCs w:val="15"/>
        </w:rPr>
        <w:t xml:space="preserve"> inte kan fullgöra uppdraget, ska Leverantör snarast skriftligen underrätta KTH. KTH avgör därefter på vad sätt uppdraget ska slutföras och lämnar Leverantör skriftligt besked om detta.</w:t>
      </w:r>
    </w:p>
    <w:p w14:paraId="0DAAA33C" w14:textId="54D50891" w:rsidR="00321007" w:rsidRPr="00E80407" w:rsidRDefault="00321007" w:rsidP="00283945">
      <w:pPr>
        <w:pStyle w:val="ListParagraph"/>
        <w:jc w:val="both"/>
        <w:rPr>
          <w:sz w:val="15"/>
          <w:szCs w:val="15"/>
        </w:rPr>
      </w:pPr>
      <w:r w:rsidRPr="00E80407">
        <w:rPr>
          <w:sz w:val="15"/>
          <w:szCs w:val="15"/>
        </w:rPr>
        <w:t xml:space="preserve">Det totala värdet </w:t>
      </w:r>
      <w:r w:rsidR="00AA1D12" w:rsidRPr="00E80407">
        <w:rPr>
          <w:sz w:val="15"/>
          <w:szCs w:val="15"/>
        </w:rPr>
        <w:t xml:space="preserve">av detta avtal </w:t>
      </w:r>
      <w:r w:rsidRPr="00E80407">
        <w:rPr>
          <w:sz w:val="15"/>
          <w:szCs w:val="15"/>
        </w:rPr>
        <w:t>får inte överstiga 100</w:t>
      </w:r>
      <w:r w:rsidR="00283945" w:rsidRPr="00E80407">
        <w:rPr>
          <w:sz w:val="15"/>
          <w:szCs w:val="15"/>
        </w:rPr>
        <w:t> </w:t>
      </w:r>
      <w:r w:rsidRPr="00E80407">
        <w:rPr>
          <w:sz w:val="15"/>
          <w:szCs w:val="15"/>
        </w:rPr>
        <w:t>000</w:t>
      </w:r>
      <w:r w:rsidR="00283945" w:rsidRPr="00E80407">
        <w:rPr>
          <w:sz w:val="15"/>
          <w:szCs w:val="15"/>
        </w:rPr>
        <w:t xml:space="preserve"> </w:t>
      </w:r>
      <w:r w:rsidRPr="00E80407">
        <w:rPr>
          <w:sz w:val="15"/>
          <w:szCs w:val="15"/>
        </w:rPr>
        <w:t>SEK. I händelse av detta har KTH rätt att med omedelbar verkan, avsluta uppdraget innan avtalets ordinarie avslut.</w:t>
      </w:r>
    </w:p>
    <w:p w14:paraId="6644ED11" w14:textId="77777777" w:rsidR="00321007" w:rsidRPr="00E80407" w:rsidRDefault="00321007" w:rsidP="00283945">
      <w:pPr>
        <w:pStyle w:val="ListParagraph"/>
        <w:jc w:val="both"/>
        <w:rPr>
          <w:sz w:val="15"/>
          <w:szCs w:val="15"/>
        </w:rPr>
      </w:pPr>
    </w:p>
    <w:p w14:paraId="7D478ED2" w14:textId="77777777" w:rsidR="00321007" w:rsidRPr="00E80407" w:rsidRDefault="00321007" w:rsidP="005A5E8A">
      <w:pPr>
        <w:pStyle w:val="ListParagraph"/>
        <w:numPr>
          <w:ilvl w:val="0"/>
          <w:numId w:val="19"/>
        </w:numPr>
        <w:rPr>
          <w:b/>
          <w:sz w:val="15"/>
          <w:szCs w:val="15"/>
        </w:rPr>
      </w:pPr>
      <w:r w:rsidRPr="00E80407">
        <w:rPr>
          <w:b/>
          <w:sz w:val="15"/>
          <w:szCs w:val="15"/>
        </w:rPr>
        <w:t>Reklamation och preskription</w:t>
      </w:r>
    </w:p>
    <w:p w14:paraId="3D3F12D6" w14:textId="77777777" w:rsidR="00321007" w:rsidRPr="00E80407" w:rsidRDefault="00321007" w:rsidP="00283945">
      <w:pPr>
        <w:pStyle w:val="ListParagraph"/>
        <w:jc w:val="both"/>
        <w:rPr>
          <w:sz w:val="15"/>
          <w:szCs w:val="15"/>
        </w:rPr>
      </w:pPr>
      <w:r w:rsidRPr="00E80407">
        <w:rPr>
          <w:sz w:val="15"/>
          <w:szCs w:val="15"/>
        </w:rPr>
        <w:t>Part ska reklamera den andra partens kontraktsbrott utan oskäligt uppehåll.</w:t>
      </w:r>
    </w:p>
    <w:p w14:paraId="37C28205" w14:textId="56A71E73" w:rsidR="00321007" w:rsidRPr="00E80407" w:rsidRDefault="00321007" w:rsidP="00283945">
      <w:pPr>
        <w:pStyle w:val="ListParagraph"/>
        <w:jc w:val="both"/>
        <w:rPr>
          <w:sz w:val="15"/>
          <w:szCs w:val="15"/>
        </w:rPr>
      </w:pPr>
      <w:r w:rsidRPr="00E80407">
        <w:rPr>
          <w:sz w:val="15"/>
          <w:szCs w:val="15"/>
        </w:rPr>
        <w:t>Parts rätt att göra påföljd gällande den andra partens kontraktsbrott upphör ett (1)</w:t>
      </w:r>
      <w:r w:rsidR="00D52965" w:rsidRPr="00E80407">
        <w:rPr>
          <w:sz w:val="15"/>
          <w:szCs w:val="15"/>
        </w:rPr>
        <w:t xml:space="preserve"> </w:t>
      </w:r>
      <w:r w:rsidRPr="00E80407">
        <w:rPr>
          <w:sz w:val="15"/>
          <w:szCs w:val="15"/>
        </w:rPr>
        <w:t xml:space="preserve">år efter det att kontraktsbrottet upptäckts eller borde ha upptäckts. Denna begränsning gäller dock inte om kontraktsbrottet är uppsåtligt eller har sin grund i grov oaktsamhet, underlåtenhet eller annan åtgärd som står i strid med tro och heder. </w:t>
      </w:r>
    </w:p>
    <w:p w14:paraId="532589B6" w14:textId="64480907" w:rsidR="00321007" w:rsidRPr="00E80407" w:rsidRDefault="00321007" w:rsidP="00283945">
      <w:pPr>
        <w:pStyle w:val="ListParagraph"/>
        <w:jc w:val="both"/>
        <w:rPr>
          <w:sz w:val="15"/>
          <w:szCs w:val="15"/>
        </w:rPr>
      </w:pPr>
      <w:r w:rsidRPr="00E80407">
        <w:rPr>
          <w:sz w:val="15"/>
          <w:szCs w:val="15"/>
        </w:rPr>
        <w:t>Reklamationen ska vara skriftlig och innehålla uppgift om felets- eller bristens art och omfattning. Leverantören ska efter reklamation eller anmärkning beredas tillfälle att inom skälig tid avhjälpa felet eller bristen, innan KTH framställer anspråk på ersättning, förutsatt att felet eller bristen kan avhjälpas.</w:t>
      </w:r>
    </w:p>
    <w:p w14:paraId="7D519E69" w14:textId="77777777" w:rsidR="00321007" w:rsidRPr="00E80407" w:rsidRDefault="00321007" w:rsidP="00283945">
      <w:pPr>
        <w:pStyle w:val="ListParagraph"/>
        <w:jc w:val="both"/>
        <w:rPr>
          <w:sz w:val="15"/>
          <w:szCs w:val="15"/>
        </w:rPr>
      </w:pPr>
      <w:r w:rsidRPr="00E80407">
        <w:rPr>
          <w:sz w:val="15"/>
          <w:szCs w:val="15"/>
        </w:rPr>
        <w:t>För det fall felet eller bristen i uppdragets utförande kan avhjälpas ska alla kostnader i samband med avhjälpandet bäras av Leverantören.</w:t>
      </w:r>
    </w:p>
    <w:p w14:paraId="3F372D70" w14:textId="77777777" w:rsidR="00321007" w:rsidRPr="00E80407" w:rsidRDefault="00321007" w:rsidP="00283945">
      <w:pPr>
        <w:pStyle w:val="ListParagraph"/>
        <w:jc w:val="both"/>
        <w:rPr>
          <w:sz w:val="15"/>
          <w:szCs w:val="15"/>
        </w:rPr>
      </w:pPr>
    </w:p>
    <w:p w14:paraId="42D6EEF0" w14:textId="77777777" w:rsidR="00321007" w:rsidRPr="00E80407" w:rsidRDefault="00321007" w:rsidP="005A5E8A">
      <w:pPr>
        <w:pStyle w:val="ListParagraph"/>
        <w:numPr>
          <w:ilvl w:val="0"/>
          <w:numId w:val="19"/>
        </w:numPr>
        <w:rPr>
          <w:b/>
          <w:sz w:val="15"/>
          <w:szCs w:val="15"/>
        </w:rPr>
      </w:pPr>
      <w:r w:rsidRPr="00E80407">
        <w:rPr>
          <w:b/>
          <w:sz w:val="15"/>
          <w:szCs w:val="15"/>
        </w:rPr>
        <w:t>Påföljder vid dröjsmål</w:t>
      </w:r>
    </w:p>
    <w:p w14:paraId="4A995171" w14:textId="77777777" w:rsidR="00321007" w:rsidRPr="00E80407" w:rsidRDefault="00321007" w:rsidP="00283945">
      <w:pPr>
        <w:pStyle w:val="ListParagraph"/>
        <w:jc w:val="both"/>
        <w:rPr>
          <w:sz w:val="15"/>
          <w:szCs w:val="15"/>
        </w:rPr>
      </w:pPr>
      <w:r w:rsidRPr="00E80407">
        <w:rPr>
          <w:sz w:val="15"/>
          <w:szCs w:val="15"/>
        </w:rPr>
        <w:t>Dröjsmål föreligger om Leverantören inte levererar i enlighet med beslutad tidplan eller när Leverantören levererar i enlighet med tidplanen men KTH inte godkänner leveransen pga. att denna är felaktig eller bristfällig. Dröjsmål föreligger även om Leverantören inte avhjälper ett fel eller en brist inom 14 dagar från det att KTH lämnat besked om att KTH inte godkänner leveransen.</w:t>
      </w:r>
    </w:p>
    <w:p w14:paraId="1311FB2D" w14:textId="77777777" w:rsidR="00321007" w:rsidRPr="00E80407" w:rsidRDefault="00321007" w:rsidP="00283945">
      <w:pPr>
        <w:pStyle w:val="ListParagraph"/>
        <w:jc w:val="both"/>
        <w:rPr>
          <w:sz w:val="15"/>
          <w:szCs w:val="15"/>
        </w:rPr>
      </w:pPr>
      <w:r w:rsidRPr="00E80407">
        <w:rPr>
          <w:sz w:val="15"/>
          <w:szCs w:val="15"/>
        </w:rPr>
        <w:t>Vid försening av hela eller viss del av uppdraget utgår förseningsvite med 5 % procent av avtalat fast pris för varje påbörjad vecka som uppdraget försenas. Vite utgår dock med maximalt 30 % av det avtalade arvodet för tjänsten.</w:t>
      </w:r>
    </w:p>
    <w:p w14:paraId="33DDA2EC" w14:textId="77777777" w:rsidR="00321007" w:rsidRPr="00E80407" w:rsidRDefault="00321007" w:rsidP="00283945">
      <w:pPr>
        <w:pStyle w:val="ListParagraph"/>
        <w:jc w:val="both"/>
        <w:rPr>
          <w:sz w:val="15"/>
          <w:szCs w:val="15"/>
        </w:rPr>
      </w:pPr>
      <w:r w:rsidRPr="00E80407">
        <w:rPr>
          <w:sz w:val="15"/>
          <w:szCs w:val="15"/>
        </w:rPr>
        <w:t>Vid försening överstigande 14 dagar har KTH rätt att häva Avtalet. Hävs Avtalet har KTH, utöver förseningsvite, rätt till skadestånd.</w:t>
      </w:r>
    </w:p>
    <w:p w14:paraId="58C00CB4" w14:textId="77777777" w:rsidR="00321007" w:rsidRPr="00E80407" w:rsidRDefault="00321007" w:rsidP="00283945">
      <w:pPr>
        <w:pStyle w:val="ListParagraph"/>
        <w:jc w:val="both"/>
        <w:rPr>
          <w:sz w:val="15"/>
          <w:szCs w:val="15"/>
        </w:rPr>
      </w:pPr>
    </w:p>
    <w:p w14:paraId="5AB42E7B" w14:textId="77777777" w:rsidR="00321007" w:rsidRPr="00E80407" w:rsidRDefault="00321007" w:rsidP="005A5E8A">
      <w:pPr>
        <w:pStyle w:val="ListParagraph"/>
        <w:numPr>
          <w:ilvl w:val="0"/>
          <w:numId w:val="19"/>
        </w:numPr>
        <w:rPr>
          <w:b/>
          <w:sz w:val="15"/>
          <w:szCs w:val="15"/>
        </w:rPr>
      </w:pPr>
      <w:r w:rsidRPr="00E80407">
        <w:rPr>
          <w:b/>
          <w:sz w:val="15"/>
          <w:szCs w:val="15"/>
        </w:rPr>
        <w:t>Ansvar</w:t>
      </w:r>
    </w:p>
    <w:p w14:paraId="4D67FD66" w14:textId="11019DBD" w:rsidR="00321007" w:rsidRPr="00E80407" w:rsidRDefault="00321007" w:rsidP="00283945">
      <w:pPr>
        <w:pStyle w:val="ListParagraph"/>
        <w:jc w:val="both"/>
        <w:rPr>
          <w:sz w:val="15"/>
          <w:szCs w:val="15"/>
        </w:rPr>
      </w:pPr>
      <w:r w:rsidRPr="00E80407">
        <w:rPr>
          <w:sz w:val="15"/>
          <w:szCs w:val="15"/>
        </w:rPr>
        <w:t xml:space="preserve">Leverantören ansvarar för skada eller förlust för såväl KTH som tredje man, vilken uppstått genom </w:t>
      </w:r>
      <w:proofErr w:type="gramStart"/>
      <w:r w:rsidRPr="00E80407">
        <w:rPr>
          <w:sz w:val="15"/>
          <w:szCs w:val="15"/>
        </w:rPr>
        <w:t>uppsåt ,</w:t>
      </w:r>
      <w:proofErr w:type="gramEnd"/>
      <w:r w:rsidRPr="00E80407">
        <w:rPr>
          <w:sz w:val="15"/>
          <w:szCs w:val="15"/>
        </w:rPr>
        <w:t xml:space="preserve"> oaktsamhet, fel, försummelse eller underlåtenhet av Leverantörens personal. Det åligger Leverantören att inneha försäkring som täcker detta. Leverantören ansvarar för skada som Leverantören eller Leverantörens personal genom förmögenhetsbrott</w:t>
      </w:r>
      <w:r w:rsidR="00AA1D12" w:rsidRPr="00E80407">
        <w:rPr>
          <w:sz w:val="15"/>
          <w:szCs w:val="15"/>
        </w:rPr>
        <w:t xml:space="preserve"> </w:t>
      </w:r>
      <w:r w:rsidRPr="00E80407">
        <w:rPr>
          <w:sz w:val="15"/>
          <w:szCs w:val="15"/>
        </w:rPr>
        <w:t>(stöld, bedrägeri eller förskingring) vållar KTH.</w:t>
      </w:r>
    </w:p>
    <w:p w14:paraId="29710E4B" w14:textId="77777777" w:rsidR="00321007" w:rsidRPr="00E80407" w:rsidRDefault="00321007" w:rsidP="00283945">
      <w:pPr>
        <w:pStyle w:val="ListParagraph"/>
        <w:jc w:val="both"/>
        <w:rPr>
          <w:sz w:val="15"/>
          <w:szCs w:val="15"/>
        </w:rPr>
      </w:pPr>
    </w:p>
    <w:p w14:paraId="713E1DB9" w14:textId="77777777" w:rsidR="00321007" w:rsidRPr="00E80407" w:rsidRDefault="00321007" w:rsidP="005A5E8A">
      <w:pPr>
        <w:pStyle w:val="ListParagraph"/>
        <w:numPr>
          <w:ilvl w:val="0"/>
          <w:numId w:val="19"/>
        </w:numPr>
        <w:rPr>
          <w:b/>
          <w:sz w:val="15"/>
          <w:szCs w:val="15"/>
        </w:rPr>
      </w:pPr>
      <w:r w:rsidRPr="00E80407">
        <w:rPr>
          <w:b/>
          <w:sz w:val="15"/>
          <w:szCs w:val="15"/>
        </w:rPr>
        <w:t>Skadestånd</w:t>
      </w:r>
    </w:p>
    <w:p w14:paraId="7707312C" w14:textId="77777777" w:rsidR="00321007" w:rsidRPr="00E80407" w:rsidRDefault="00321007" w:rsidP="00283945">
      <w:pPr>
        <w:pStyle w:val="ListParagraph"/>
        <w:jc w:val="both"/>
        <w:rPr>
          <w:sz w:val="15"/>
          <w:szCs w:val="15"/>
        </w:rPr>
      </w:pPr>
      <w:r w:rsidRPr="00E80407">
        <w:rPr>
          <w:sz w:val="15"/>
          <w:szCs w:val="15"/>
        </w:rPr>
        <w:t xml:space="preserve">Om Leverantören bryter mot bestämmelserna i detta avtal ska denne, oavsett om uppsåt eller oaktsamhet kan påvisas, utge skadestånd till KTH avseende sak-, person- och ren förmögenhetsskada som Leverantören åsamkat KTH eller tredje man. Leverantörens sammanlagda ansvar för skada som vållats till följd av fel, försummelse eller avtalsbrott är dock begränsat till högst </w:t>
      </w:r>
      <w:r w:rsidR="00A70F5E" w:rsidRPr="00E80407">
        <w:rPr>
          <w:sz w:val="15"/>
          <w:szCs w:val="15"/>
        </w:rPr>
        <w:t>kontraktsvärdet</w:t>
      </w:r>
      <w:r w:rsidRPr="00E80407">
        <w:rPr>
          <w:sz w:val="15"/>
          <w:szCs w:val="15"/>
        </w:rPr>
        <w:t>.</w:t>
      </w:r>
    </w:p>
    <w:p w14:paraId="69F665A2" w14:textId="77777777" w:rsidR="00321007" w:rsidRPr="00E80407" w:rsidRDefault="00321007" w:rsidP="00283945">
      <w:pPr>
        <w:pStyle w:val="ListParagraph"/>
        <w:jc w:val="both"/>
        <w:rPr>
          <w:sz w:val="15"/>
          <w:szCs w:val="15"/>
        </w:rPr>
      </w:pPr>
      <w:r w:rsidRPr="00E80407">
        <w:rPr>
          <w:sz w:val="15"/>
          <w:szCs w:val="15"/>
        </w:rPr>
        <w:t>Leverantörens ansvarar inte för indirekta skador eller följdskador. Leverantören ansvarar inte heller för skada som uppkommit till följd av omständigheter utanför Leverantörens kontroll som Leverantören skäligen inte kunde ha räknat med vid tidpunkten för uppdragets antagande och vars följder vi inte heller skäligen kunde ha undvikit eller övervunnit.</w:t>
      </w:r>
    </w:p>
    <w:p w14:paraId="2CA5F369" w14:textId="77777777" w:rsidR="00321007" w:rsidRPr="00E80407" w:rsidRDefault="00321007" w:rsidP="00283945">
      <w:pPr>
        <w:pStyle w:val="ListParagraph"/>
        <w:jc w:val="both"/>
        <w:rPr>
          <w:sz w:val="15"/>
          <w:szCs w:val="15"/>
        </w:rPr>
      </w:pPr>
      <w:r w:rsidRPr="00E80407">
        <w:rPr>
          <w:sz w:val="15"/>
          <w:szCs w:val="15"/>
        </w:rPr>
        <w:t>Vidare ansvarar Leverantören inte för skada som KTH förorsakats till följd av att Leverantören iakttagit god företagssed eller de skyldigheter som uppfattats åligger Leverantör enligt lag.</w:t>
      </w:r>
    </w:p>
    <w:p w14:paraId="7577CAC6" w14:textId="77777777" w:rsidR="00321007" w:rsidRPr="00E80407" w:rsidRDefault="00321007" w:rsidP="00283945">
      <w:pPr>
        <w:pStyle w:val="ListParagraph"/>
        <w:jc w:val="both"/>
        <w:rPr>
          <w:sz w:val="15"/>
          <w:szCs w:val="15"/>
        </w:rPr>
      </w:pPr>
    </w:p>
    <w:p w14:paraId="0FAB00A6" w14:textId="77777777" w:rsidR="00321007" w:rsidRPr="00E80407" w:rsidRDefault="00321007" w:rsidP="00153057">
      <w:pPr>
        <w:pStyle w:val="ListParagraph"/>
        <w:numPr>
          <w:ilvl w:val="0"/>
          <w:numId w:val="19"/>
        </w:numPr>
        <w:jc w:val="both"/>
        <w:rPr>
          <w:b/>
          <w:sz w:val="15"/>
          <w:szCs w:val="15"/>
        </w:rPr>
      </w:pPr>
      <w:r w:rsidRPr="00E80407">
        <w:rPr>
          <w:b/>
          <w:sz w:val="15"/>
          <w:szCs w:val="15"/>
        </w:rPr>
        <w:t>Försäkringar samt annan säkerhet</w:t>
      </w:r>
    </w:p>
    <w:p w14:paraId="7CF61C15" w14:textId="78AE7110" w:rsidR="00283945" w:rsidRPr="00E80407" w:rsidRDefault="00321007" w:rsidP="00283945">
      <w:pPr>
        <w:pStyle w:val="ListParagraph"/>
        <w:jc w:val="both"/>
        <w:rPr>
          <w:sz w:val="15"/>
          <w:szCs w:val="15"/>
        </w:rPr>
      </w:pPr>
      <w:r w:rsidRPr="00E80407">
        <w:rPr>
          <w:sz w:val="15"/>
          <w:szCs w:val="15"/>
        </w:rPr>
        <w:t>Leverantören ska vara försäkrad till ett betryggande belopp som säkerhet för fullgörande av skadeståndsskyldighet gentemot KTH. Skadestånds</w:t>
      </w:r>
      <w:r w:rsidR="00283945" w:rsidRPr="00E80407">
        <w:rPr>
          <w:sz w:val="15"/>
          <w:szCs w:val="15"/>
        </w:rPr>
        <w:t xml:space="preserve">ansvaret är dock inte begränsat </w:t>
      </w:r>
      <w:r w:rsidRPr="00E80407">
        <w:rPr>
          <w:sz w:val="15"/>
          <w:szCs w:val="15"/>
        </w:rPr>
        <w:t>till försäkringsbeloppet.</w:t>
      </w:r>
    </w:p>
    <w:p w14:paraId="2E449761" w14:textId="5CA5DF79" w:rsidR="00321007" w:rsidRPr="00E80407" w:rsidRDefault="00321007" w:rsidP="00283945">
      <w:pPr>
        <w:pStyle w:val="ListParagraph"/>
        <w:jc w:val="both"/>
        <w:rPr>
          <w:sz w:val="15"/>
          <w:szCs w:val="15"/>
        </w:rPr>
      </w:pPr>
      <w:r w:rsidRPr="00E80407">
        <w:rPr>
          <w:sz w:val="15"/>
          <w:szCs w:val="15"/>
        </w:rPr>
        <w:t>Leverantören ska under hela avtalstiden inneha en giltig ansvarsförsäkring som täcker skada som genom fel eller försummelse vållats KTH eller tredje man. En giltig försäkring ska även täcka omhändertagen egendom, samtliga av KTH överlämnade handlingar samt databärande media.</w:t>
      </w:r>
    </w:p>
    <w:p w14:paraId="18702B20" w14:textId="77777777" w:rsidR="00321007" w:rsidRPr="00E80407" w:rsidRDefault="00321007" w:rsidP="00283945">
      <w:pPr>
        <w:pStyle w:val="ListParagraph"/>
        <w:jc w:val="both"/>
        <w:rPr>
          <w:sz w:val="15"/>
          <w:szCs w:val="15"/>
        </w:rPr>
      </w:pPr>
      <w:r w:rsidRPr="00E80407">
        <w:rPr>
          <w:sz w:val="15"/>
          <w:szCs w:val="15"/>
        </w:rPr>
        <w:t>Leverantören ska säkerställa att omhändertagen egendom, samtliga av KTH överlämnade handlingar och andra databärande media rörande uppdraget förvaras hos Leverantören på ett betryggande sätt samt försäkras mot brand, inbrott och liknande händelser.</w:t>
      </w:r>
    </w:p>
    <w:p w14:paraId="223317A9" w14:textId="77777777" w:rsidR="00321007" w:rsidRPr="00E80407" w:rsidRDefault="00321007" w:rsidP="00283945">
      <w:pPr>
        <w:pStyle w:val="ListParagraph"/>
        <w:jc w:val="both"/>
        <w:rPr>
          <w:sz w:val="15"/>
          <w:szCs w:val="15"/>
        </w:rPr>
      </w:pPr>
      <w:r w:rsidRPr="00E80407">
        <w:rPr>
          <w:sz w:val="15"/>
          <w:szCs w:val="15"/>
        </w:rPr>
        <w:t>Riskövergången för omhändertagen egendom, överlämnade handlingar samt databärande media sker i samband med att KTH överlämnat dessa elektroniskt, med post eller genom personlig överlämning till Leverantören.</w:t>
      </w:r>
      <w:r w:rsidRPr="00E80407">
        <w:rPr>
          <w:sz w:val="15"/>
          <w:szCs w:val="15"/>
        </w:rPr>
        <w:br/>
        <w:t>Bevis på att Leverantören har den (de) erforderlig(-a) försäkring(-</w:t>
      </w:r>
      <w:proofErr w:type="spellStart"/>
      <w:r w:rsidRPr="00E80407">
        <w:rPr>
          <w:sz w:val="15"/>
          <w:szCs w:val="15"/>
        </w:rPr>
        <w:t>arna</w:t>
      </w:r>
      <w:proofErr w:type="spellEnd"/>
      <w:r w:rsidRPr="00E80407">
        <w:rPr>
          <w:sz w:val="15"/>
          <w:szCs w:val="15"/>
        </w:rPr>
        <w:t>) ska på begäran lämnas till KTH:s kontaktperson.</w:t>
      </w:r>
    </w:p>
    <w:p w14:paraId="1D1F683E" w14:textId="77777777" w:rsidR="00321007" w:rsidRPr="00E80407" w:rsidRDefault="00321007" w:rsidP="00283945">
      <w:pPr>
        <w:pStyle w:val="ListParagraph"/>
        <w:jc w:val="both"/>
        <w:rPr>
          <w:sz w:val="15"/>
          <w:szCs w:val="15"/>
        </w:rPr>
      </w:pPr>
    </w:p>
    <w:p w14:paraId="58EECEB1" w14:textId="77777777" w:rsidR="00321007" w:rsidRPr="00E80407" w:rsidRDefault="00321007" w:rsidP="00153057">
      <w:pPr>
        <w:pStyle w:val="ListParagraph"/>
        <w:numPr>
          <w:ilvl w:val="0"/>
          <w:numId w:val="19"/>
        </w:numPr>
        <w:jc w:val="both"/>
        <w:rPr>
          <w:b/>
          <w:sz w:val="15"/>
          <w:szCs w:val="15"/>
        </w:rPr>
      </w:pPr>
      <w:r w:rsidRPr="00E80407">
        <w:rPr>
          <w:b/>
          <w:sz w:val="15"/>
          <w:szCs w:val="15"/>
        </w:rPr>
        <w:t>Hävning</w:t>
      </w:r>
    </w:p>
    <w:p w14:paraId="3D6FD00F" w14:textId="77777777" w:rsidR="00283945" w:rsidRPr="00E80407" w:rsidRDefault="00321007" w:rsidP="00283945">
      <w:pPr>
        <w:pStyle w:val="ListParagraph"/>
        <w:jc w:val="both"/>
        <w:rPr>
          <w:sz w:val="15"/>
          <w:szCs w:val="15"/>
        </w:rPr>
      </w:pPr>
      <w:r w:rsidRPr="00E80407">
        <w:rPr>
          <w:sz w:val="15"/>
          <w:szCs w:val="15"/>
        </w:rPr>
        <w:t>Fullgör inte part sina skyldigheter enligt detta avtal och är avtalsbrottet av väsentlig betydelse för motparten har motparten rätt att häva avtalet om inte den felande parten vidtar rättelse inom trettio (30) dagar efter det att han uppmanats härtill.</w:t>
      </w:r>
    </w:p>
    <w:p w14:paraId="5C7C30AB" w14:textId="1D13BBDB" w:rsidR="00321007" w:rsidRPr="00E80407" w:rsidRDefault="00321007" w:rsidP="00283945">
      <w:pPr>
        <w:pStyle w:val="ListParagraph"/>
        <w:jc w:val="both"/>
        <w:rPr>
          <w:sz w:val="15"/>
          <w:szCs w:val="15"/>
        </w:rPr>
      </w:pPr>
      <w:r w:rsidRPr="00E80407">
        <w:rPr>
          <w:sz w:val="15"/>
          <w:szCs w:val="15"/>
        </w:rPr>
        <w:t xml:space="preserve">Part har dock alltid rätt att omedelbart häva avtalet om motparten försätts i konkurs, inleder ackordsförhandlingar, gjort sig skyldig till allvarligt fel i yrkesutövningen eller eljest kommer på obestånd samt om han inte fullgjort sina åtaganden avseende </w:t>
      </w:r>
      <w:r w:rsidRPr="00E80407">
        <w:rPr>
          <w:sz w:val="15"/>
          <w:szCs w:val="15"/>
        </w:rPr>
        <w:lastRenderedPageBreak/>
        <w:t>socialförsäkringsavgifter och skatter.</w:t>
      </w:r>
      <w:r w:rsidRPr="00E80407">
        <w:rPr>
          <w:sz w:val="15"/>
          <w:szCs w:val="15"/>
        </w:rPr>
        <w:br/>
        <w:t>Hävningen ska vara skriftlig för att äga giltighet.</w:t>
      </w:r>
    </w:p>
    <w:p w14:paraId="2363FE31" w14:textId="77777777" w:rsidR="00321007" w:rsidRPr="00E80407" w:rsidRDefault="00321007" w:rsidP="00283945">
      <w:pPr>
        <w:pStyle w:val="ListParagraph"/>
        <w:jc w:val="both"/>
        <w:rPr>
          <w:sz w:val="15"/>
          <w:szCs w:val="15"/>
        </w:rPr>
      </w:pPr>
      <w:r w:rsidRPr="00E80407">
        <w:rPr>
          <w:sz w:val="15"/>
          <w:szCs w:val="15"/>
        </w:rPr>
        <w:t>Påstående om att KTH brutit mot avtal ska inte utgöra skäl för avstängning av tjänst. Först när avtalsbrott fastställts kan avstängning av tjänst ske i enlighet med avslut av avtal.</w:t>
      </w:r>
    </w:p>
    <w:p w14:paraId="4E1B711F" w14:textId="77777777" w:rsidR="00321007" w:rsidRPr="00E80407" w:rsidRDefault="00321007" w:rsidP="00DE05A2">
      <w:pPr>
        <w:pStyle w:val="ListParagraph"/>
        <w:jc w:val="both"/>
        <w:rPr>
          <w:sz w:val="15"/>
          <w:szCs w:val="15"/>
        </w:rPr>
      </w:pPr>
    </w:p>
    <w:p w14:paraId="0DCF8B81" w14:textId="77777777" w:rsidR="00321007" w:rsidRPr="00E80407" w:rsidRDefault="00321007" w:rsidP="00153057">
      <w:pPr>
        <w:pStyle w:val="ListParagraph"/>
        <w:numPr>
          <w:ilvl w:val="0"/>
          <w:numId w:val="19"/>
        </w:numPr>
        <w:jc w:val="both"/>
        <w:rPr>
          <w:b/>
          <w:sz w:val="15"/>
          <w:szCs w:val="15"/>
        </w:rPr>
      </w:pPr>
      <w:r w:rsidRPr="00E80407">
        <w:rPr>
          <w:b/>
          <w:sz w:val="15"/>
          <w:szCs w:val="15"/>
        </w:rPr>
        <w:t>Avbryta avtal i förtid</w:t>
      </w:r>
    </w:p>
    <w:p w14:paraId="6E279426" w14:textId="101356E2" w:rsidR="00321007" w:rsidRPr="00E80407" w:rsidRDefault="00321007" w:rsidP="00DE05A2">
      <w:pPr>
        <w:pStyle w:val="ListParagraph"/>
        <w:jc w:val="both"/>
        <w:rPr>
          <w:sz w:val="15"/>
          <w:szCs w:val="15"/>
        </w:rPr>
      </w:pPr>
      <w:r w:rsidRPr="00E80407">
        <w:rPr>
          <w:sz w:val="15"/>
          <w:szCs w:val="15"/>
        </w:rPr>
        <w:t>I förekommande fall där säkerhetsskyddsavtal finns mellan KTH och leverantör, så äger KTH rätten att ensidigt bryta avtalet om leverantören bryter mot säkerhetskyddsavtalet</w:t>
      </w:r>
      <w:r w:rsidR="00B3103F" w:rsidRPr="00E80407">
        <w:rPr>
          <w:sz w:val="15"/>
          <w:szCs w:val="15"/>
        </w:rPr>
        <w:t>.</w:t>
      </w:r>
    </w:p>
    <w:p w14:paraId="7F6B7029" w14:textId="77777777" w:rsidR="00321007" w:rsidRPr="00E80407" w:rsidRDefault="00321007" w:rsidP="00DE05A2">
      <w:pPr>
        <w:pStyle w:val="ListParagraph"/>
        <w:jc w:val="both"/>
        <w:rPr>
          <w:sz w:val="15"/>
          <w:szCs w:val="15"/>
        </w:rPr>
      </w:pPr>
    </w:p>
    <w:p w14:paraId="57BAC68F" w14:textId="363A6F8C" w:rsidR="00321007" w:rsidRPr="00E80407" w:rsidRDefault="00321007" w:rsidP="00153057">
      <w:pPr>
        <w:pStyle w:val="ListParagraph"/>
        <w:numPr>
          <w:ilvl w:val="0"/>
          <w:numId w:val="19"/>
        </w:numPr>
        <w:jc w:val="both"/>
        <w:rPr>
          <w:b/>
          <w:sz w:val="15"/>
          <w:szCs w:val="15"/>
        </w:rPr>
      </w:pPr>
      <w:r w:rsidRPr="00E80407">
        <w:rPr>
          <w:b/>
          <w:sz w:val="15"/>
          <w:szCs w:val="15"/>
        </w:rPr>
        <w:t>Force Majeure</w:t>
      </w:r>
    </w:p>
    <w:p w14:paraId="3A914343" w14:textId="77777777" w:rsidR="00283945" w:rsidRPr="00E80407" w:rsidRDefault="00321007" w:rsidP="00283945">
      <w:pPr>
        <w:pStyle w:val="ListParagraph"/>
        <w:jc w:val="both"/>
        <w:rPr>
          <w:sz w:val="15"/>
          <w:szCs w:val="15"/>
        </w:rPr>
      </w:pPr>
      <w:r w:rsidRPr="00E80407">
        <w:rPr>
          <w:sz w:val="15"/>
          <w:szCs w:val="15"/>
        </w:rPr>
        <w:t>Part är befriad från sina åtaganden om denne visar att det inträffat ett hinder utanför dennes kontroll som denne inte skäligen kunde förväntas ha räknat med i samband med att Avtalet slöts och vars följder denne inte heller skäligen kunde ha undvikit eller övervunnit.</w:t>
      </w:r>
      <w:r w:rsidRPr="00E80407">
        <w:rPr>
          <w:sz w:val="15"/>
          <w:szCs w:val="15"/>
        </w:rPr>
        <w:br/>
        <w:t xml:space="preserve">Beror dröjsmålet på någon som part anlitat för att helt eller delvis fullgöra Avtalet, är parten fri från skadeståndsskyldighet endast om också den som han har anlitat skulle vara fri enligt första stycket. </w:t>
      </w:r>
      <w:r w:rsidRPr="00E80407">
        <w:rPr>
          <w:sz w:val="15"/>
          <w:szCs w:val="15"/>
        </w:rPr>
        <w:br/>
        <w:t>För att part ska ha rätt att göra gällande befrielsegrund enligt ovan ska denne utan dröjsmål underrätta den andre parten om uppkomsten därav, liksom om dess upphörande.</w:t>
      </w:r>
    </w:p>
    <w:p w14:paraId="33604AEB" w14:textId="040DCFAB" w:rsidR="00321007" w:rsidRPr="00E80407" w:rsidRDefault="00321007" w:rsidP="00283945">
      <w:pPr>
        <w:pStyle w:val="ListParagraph"/>
        <w:jc w:val="both"/>
        <w:rPr>
          <w:sz w:val="15"/>
          <w:szCs w:val="15"/>
        </w:rPr>
      </w:pPr>
      <w:r w:rsidRPr="00E80407">
        <w:rPr>
          <w:sz w:val="15"/>
          <w:szCs w:val="15"/>
        </w:rPr>
        <w:t xml:space="preserve">Part ska informera den andre parten om när </w:t>
      </w:r>
      <w:proofErr w:type="spellStart"/>
      <w:r w:rsidRPr="00E80407">
        <w:rPr>
          <w:sz w:val="15"/>
          <w:szCs w:val="15"/>
        </w:rPr>
        <w:t>fullgörelse</w:t>
      </w:r>
      <w:proofErr w:type="spellEnd"/>
      <w:r w:rsidRPr="00E80407">
        <w:rPr>
          <w:sz w:val="15"/>
          <w:szCs w:val="15"/>
        </w:rPr>
        <w:t xml:space="preserve"> beräknas kunna ske.</w:t>
      </w:r>
      <w:r w:rsidR="00735B26" w:rsidRPr="00E80407">
        <w:rPr>
          <w:sz w:val="15"/>
          <w:szCs w:val="15"/>
        </w:rPr>
        <w:t xml:space="preserve"> </w:t>
      </w:r>
      <w:r w:rsidRPr="00E80407">
        <w:rPr>
          <w:sz w:val="15"/>
          <w:szCs w:val="15"/>
        </w:rPr>
        <w:t>Part bibehåller dock sin hävningsrätt enligt detta Avtal.</w:t>
      </w:r>
    </w:p>
    <w:p w14:paraId="1026F397" w14:textId="77777777" w:rsidR="00321007" w:rsidRPr="00E80407" w:rsidRDefault="00321007" w:rsidP="00DE05A2">
      <w:pPr>
        <w:pStyle w:val="ListParagraph"/>
        <w:jc w:val="both"/>
        <w:rPr>
          <w:sz w:val="15"/>
          <w:szCs w:val="15"/>
        </w:rPr>
      </w:pPr>
    </w:p>
    <w:p w14:paraId="415B8FA5" w14:textId="77777777" w:rsidR="00321007" w:rsidRPr="00E80407" w:rsidRDefault="00321007" w:rsidP="00153057">
      <w:pPr>
        <w:pStyle w:val="ListParagraph"/>
        <w:numPr>
          <w:ilvl w:val="0"/>
          <w:numId w:val="19"/>
        </w:numPr>
        <w:jc w:val="both"/>
        <w:rPr>
          <w:b/>
          <w:sz w:val="15"/>
          <w:szCs w:val="15"/>
        </w:rPr>
      </w:pPr>
      <w:r w:rsidRPr="00E80407">
        <w:rPr>
          <w:b/>
          <w:sz w:val="15"/>
          <w:szCs w:val="15"/>
        </w:rPr>
        <w:t>Ändringar och tillägg</w:t>
      </w:r>
    </w:p>
    <w:p w14:paraId="70A271B9" w14:textId="1EB5A219" w:rsidR="00321007" w:rsidRPr="00E80407" w:rsidRDefault="00321007" w:rsidP="00DE05A2">
      <w:pPr>
        <w:pStyle w:val="ListParagraph"/>
        <w:jc w:val="both"/>
        <w:rPr>
          <w:sz w:val="15"/>
          <w:szCs w:val="15"/>
        </w:rPr>
      </w:pPr>
      <w:r w:rsidRPr="00E80407">
        <w:rPr>
          <w:sz w:val="15"/>
          <w:szCs w:val="15"/>
        </w:rPr>
        <w:t>Ändringar och tillägg till detta avtal ska för att äga giltighet vara skriftliga och undertecknade av behöriga företrädare hos båda Parter</w:t>
      </w:r>
      <w:r w:rsidR="00AA1D12" w:rsidRPr="00E80407">
        <w:rPr>
          <w:sz w:val="15"/>
          <w:szCs w:val="15"/>
        </w:rPr>
        <w:t>.</w:t>
      </w:r>
    </w:p>
    <w:p w14:paraId="22F1BCAC" w14:textId="77777777" w:rsidR="00321007" w:rsidRPr="00E80407" w:rsidRDefault="00321007" w:rsidP="00DE05A2">
      <w:pPr>
        <w:pStyle w:val="ListParagraph"/>
        <w:jc w:val="both"/>
        <w:rPr>
          <w:sz w:val="15"/>
          <w:szCs w:val="15"/>
        </w:rPr>
      </w:pPr>
    </w:p>
    <w:p w14:paraId="2EDFCCB4" w14:textId="77777777" w:rsidR="00321007" w:rsidRPr="00E80407" w:rsidRDefault="00321007" w:rsidP="00321007">
      <w:pPr>
        <w:pStyle w:val="ListParagraph"/>
        <w:numPr>
          <w:ilvl w:val="0"/>
          <w:numId w:val="19"/>
        </w:numPr>
        <w:jc w:val="both"/>
        <w:rPr>
          <w:b/>
          <w:sz w:val="15"/>
          <w:szCs w:val="15"/>
        </w:rPr>
      </w:pPr>
      <w:r w:rsidRPr="00E80407">
        <w:rPr>
          <w:b/>
          <w:sz w:val="15"/>
          <w:szCs w:val="15"/>
        </w:rPr>
        <w:t>Partsbyte</w:t>
      </w:r>
    </w:p>
    <w:p w14:paraId="5ABCF466" w14:textId="77777777" w:rsidR="00321007" w:rsidRPr="00E80407" w:rsidRDefault="00321007" w:rsidP="00DE05A2">
      <w:pPr>
        <w:pStyle w:val="ListParagraph"/>
        <w:jc w:val="both"/>
        <w:rPr>
          <w:sz w:val="15"/>
          <w:szCs w:val="15"/>
        </w:rPr>
      </w:pPr>
      <w:r w:rsidRPr="00E80407">
        <w:rPr>
          <w:sz w:val="15"/>
          <w:szCs w:val="15"/>
        </w:rPr>
        <w:t>Part får överlåta sina rättigheter och skyldigheter enligt detta avtal till annan endast om motpartens skriftliga godkännande därtill först erhållits. Om Leverantören ska övertas av annat företag äger KTH rätt att avgöra om detta kan godtas eller om avtalet i stället ska upphöra att gälla.</w:t>
      </w:r>
    </w:p>
    <w:p w14:paraId="1DF8D32F" w14:textId="77777777" w:rsidR="00321007" w:rsidRPr="00E80407" w:rsidRDefault="00321007" w:rsidP="00DE05A2">
      <w:pPr>
        <w:pStyle w:val="ListParagraph"/>
        <w:jc w:val="both"/>
        <w:rPr>
          <w:sz w:val="15"/>
          <w:szCs w:val="15"/>
        </w:rPr>
      </w:pPr>
    </w:p>
    <w:p w14:paraId="6DCA7BA7" w14:textId="77777777" w:rsidR="00321007" w:rsidRPr="00E80407" w:rsidRDefault="00321007" w:rsidP="00153057">
      <w:pPr>
        <w:pStyle w:val="ListParagraph"/>
        <w:numPr>
          <w:ilvl w:val="0"/>
          <w:numId w:val="19"/>
        </w:numPr>
        <w:jc w:val="both"/>
        <w:rPr>
          <w:b/>
          <w:sz w:val="15"/>
          <w:szCs w:val="15"/>
        </w:rPr>
      </w:pPr>
      <w:r w:rsidRPr="00E80407">
        <w:rPr>
          <w:b/>
          <w:sz w:val="15"/>
          <w:szCs w:val="15"/>
        </w:rPr>
        <w:t>Tillämplig lag och eventuell tvist</w:t>
      </w:r>
    </w:p>
    <w:p w14:paraId="0BF69DBF" w14:textId="77777777" w:rsidR="00321007" w:rsidRPr="00E80407" w:rsidRDefault="00321007" w:rsidP="00DE05A2">
      <w:pPr>
        <w:pStyle w:val="ListParagraph"/>
        <w:jc w:val="both"/>
        <w:rPr>
          <w:sz w:val="15"/>
          <w:szCs w:val="15"/>
        </w:rPr>
      </w:pPr>
      <w:r w:rsidRPr="00E80407">
        <w:rPr>
          <w:sz w:val="15"/>
          <w:szCs w:val="15"/>
        </w:rPr>
        <w:t>Detta avtal skall regleras enligt svensk lag.</w:t>
      </w:r>
    </w:p>
    <w:p w14:paraId="36A1AB0B" w14:textId="77777777" w:rsidR="00ED60C1" w:rsidRPr="00E80407" w:rsidRDefault="00321007" w:rsidP="00DE05A2">
      <w:pPr>
        <w:pStyle w:val="ListParagraph"/>
        <w:jc w:val="both"/>
        <w:rPr>
          <w:sz w:val="15"/>
          <w:szCs w:val="15"/>
        </w:rPr>
      </w:pPr>
      <w:r w:rsidRPr="00E80407">
        <w:rPr>
          <w:sz w:val="15"/>
          <w:szCs w:val="15"/>
        </w:rPr>
        <w:t>Tvist angående tillämpning och/eller tolkning av detta avtal skall avgöras av svensk allmän domstol med Stockholms tingsrätt som första instans.</w:t>
      </w:r>
    </w:p>
    <w:sectPr w:rsidR="00ED60C1" w:rsidRPr="00E80407" w:rsidSect="008B6DFE">
      <w:type w:val="continuous"/>
      <w:pgSz w:w="11906" w:h="16838" w:code="9"/>
      <w:pgMar w:top="720" w:right="720" w:bottom="720" w:left="720" w:header="1020" w:footer="567" w:gutter="0"/>
      <w:cols w:num="2"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D5298" w14:textId="77777777" w:rsidR="00677802" w:rsidRDefault="00677802" w:rsidP="00AB37AC">
      <w:r>
        <w:separator/>
      </w:r>
    </w:p>
  </w:endnote>
  <w:endnote w:type="continuationSeparator" w:id="0">
    <w:p w14:paraId="571604ED" w14:textId="77777777" w:rsidR="00677802" w:rsidRDefault="0067780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4754" w14:textId="77777777" w:rsidR="00ED60C1" w:rsidRDefault="00ED60C1"/>
  <w:p w14:paraId="043655E2" w14:textId="77777777"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14:paraId="09236429" w14:textId="77777777" w:rsidTr="007A0DF9">
      <w:tc>
        <w:tcPr>
          <w:tcW w:w="7994" w:type="dxa"/>
        </w:tcPr>
        <w:p w14:paraId="338975F3" w14:textId="001D8104" w:rsidR="006A7494" w:rsidRPr="00ED60C1" w:rsidRDefault="00283945" w:rsidP="0007615F">
          <w:pPr>
            <w:pStyle w:val="Footer"/>
            <w:rPr>
              <w:sz w:val="14"/>
              <w:szCs w:val="14"/>
            </w:rPr>
          </w:pPr>
          <w:r>
            <w:rPr>
              <w:sz w:val="14"/>
              <w:szCs w:val="14"/>
            </w:rPr>
            <w:t>Version: 1.1</w:t>
          </w:r>
        </w:p>
      </w:tc>
      <w:tc>
        <w:tcPr>
          <w:tcW w:w="1134" w:type="dxa"/>
          <w:vAlign w:val="bottom"/>
        </w:tcPr>
        <w:p w14:paraId="3B7EC39E" w14:textId="46D43FE7"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70178D">
            <w:rPr>
              <w:rStyle w:val="PageNumber"/>
              <w:noProof/>
              <w:sz w:val="14"/>
              <w:szCs w:val="14"/>
            </w:rPr>
            <w:t>1</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70178D">
            <w:rPr>
              <w:rStyle w:val="PageNumber"/>
              <w:noProof/>
              <w:sz w:val="14"/>
              <w:szCs w:val="14"/>
            </w:rPr>
            <w:t>2</w:t>
          </w:r>
          <w:r w:rsidRPr="00ED60C1">
            <w:rPr>
              <w:rStyle w:val="PageNumber"/>
              <w:sz w:val="14"/>
              <w:szCs w:val="14"/>
            </w:rPr>
            <w:fldChar w:fldCharType="end"/>
          </w:r>
          <w:r w:rsidRPr="00ED60C1">
            <w:rPr>
              <w:rStyle w:val="PageNumber"/>
              <w:sz w:val="14"/>
              <w:szCs w:val="14"/>
            </w:rPr>
            <w:t>)</w:t>
          </w:r>
        </w:p>
      </w:tc>
    </w:tr>
  </w:tbl>
  <w:p w14:paraId="2DC6319E" w14:textId="66A0D9E2" w:rsidR="000C7491" w:rsidRPr="0007615F" w:rsidRDefault="00283945">
    <w:pPr>
      <w:rPr>
        <w:rFonts w:asciiTheme="majorHAnsi" w:hAnsiTheme="majorHAnsi" w:cstheme="majorHAnsi"/>
      </w:rPr>
    </w:pPr>
    <w:r>
      <w:rPr>
        <w:rFonts w:asciiTheme="majorHAnsi" w:hAnsiTheme="majorHAnsi" w:cstheme="majorHAnsi"/>
        <w:sz w:val="14"/>
        <w:szCs w:val="14"/>
      </w:rPr>
      <w:t>Reviderad 2025-01-10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A431" w14:textId="77777777"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14:paraId="5CE8C149" w14:textId="77777777" w:rsidTr="002F13C1">
      <w:tc>
        <w:tcPr>
          <w:tcW w:w="1134" w:type="dxa"/>
          <w:vAlign w:val="bottom"/>
        </w:tcPr>
        <w:p w14:paraId="3CF6A370" w14:textId="77777777"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321007">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14:paraId="684BFB96" w14:textId="77777777"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10A2" w14:textId="77777777" w:rsidR="00677802" w:rsidRDefault="00677802" w:rsidP="00AB37AC">
      <w:r>
        <w:separator/>
      </w:r>
    </w:p>
  </w:footnote>
  <w:footnote w:type="continuationSeparator" w:id="0">
    <w:p w14:paraId="47644AD1" w14:textId="77777777" w:rsidR="00677802" w:rsidRDefault="0067780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F386" w14:textId="77777777" w:rsidR="00ED60C1" w:rsidRDefault="00DF541D" w:rsidP="006A7494">
    <w:pPr>
      <w:pStyle w:val="Header"/>
    </w:pPr>
    <w:r>
      <w:rPr>
        <w:noProof/>
        <w:lang w:eastAsia="sv-SE"/>
      </w:rPr>
      <w:drawing>
        <wp:anchor distT="0" distB="0" distL="114300" distR="114300" simplePos="0" relativeHeight="251661312" behindDoc="0" locked="0" layoutInCell="1" allowOverlap="1" wp14:anchorId="27B93725" wp14:editId="07855A71">
          <wp:simplePos x="0" y="0"/>
          <wp:positionH relativeFrom="column">
            <wp:posOffset>-360045</wp:posOffset>
          </wp:positionH>
          <wp:positionV relativeFrom="page">
            <wp:posOffset>356235</wp:posOffset>
          </wp:positionV>
          <wp:extent cx="853200" cy="954000"/>
          <wp:effectExtent l="0" t="0" r="4445"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3200" cy="954000"/>
                  </a:xfrm>
                  <a:prstGeom prst="rect">
                    <a:avLst/>
                  </a:prstGeom>
                </pic:spPr>
              </pic:pic>
            </a:graphicData>
          </a:graphic>
          <wp14:sizeRelH relativeFrom="page">
            <wp14:pctWidth>0</wp14:pctWidth>
          </wp14:sizeRelH>
          <wp14:sizeRelV relativeFrom="page">
            <wp14:pctHeight>0</wp14:pctHeight>
          </wp14:sizeRelV>
        </wp:anchor>
      </w:drawing>
    </w:r>
  </w:p>
  <w:p w14:paraId="15CC17C6" w14:textId="77777777" w:rsidR="00ED60C1" w:rsidRDefault="00ED60C1" w:rsidP="006A7494">
    <w:pPr>
      <w:pStyle w:val="Header"/>
    </w:pPr>
  </w:p>
  <w:p w14:paraId="51B8D454" w14:textId="77777777" w:rsidR="00ED60C1" w:rsidRDefault="00ED60C1" w:rsidP="006A7494">
    <w:pPr>
      <w:pStyle w:val="Header"/>
    </w:pPr>
  </w:p>
  <w:p w14:paraId="3AB68CB5" w14:textId="77777777" w:rsidR="00ED60C1" w:rsidRDefault="00ED60C1" w:rsidP="006A7494">
    <w:pPr>
      <w:pStyle w:val="Header"/>
    </w:pPr>
  </w:p>
  <w:p w14:paraId="0840CEB4" w14:textId="77777777" w:rsidR="00ED60C1" w:rsidRDefault="00ED60C1" w:rsidP="006A7494">
    <w:pPr>
      <w:pStyle w:val="Header"/>
    </w:pPr>
  </w:p>
  <w:p w14:paraId="394685CA" w14:textId="77777777" w:rsidR="006A7494" w:rsidRPr="00D6309B" w:rsidRDefault="006A7494" w:rsidP="006A7494">
    <w:pPr>
      <w:pStyle w:val="Header"/>
    </w:pPr>
  </w:p>
  <w:p w14:paraId="61876B46" w14:textId="77777777" w:rsidR="000C7491" w:rsidRDefault="000C7491"/>
  <w:p w14:paraId="232B54EB" w14:textId="77777777"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7AD0" w14:textId="77777777" w:rsidR="00B64A9B" w:rsidRDefault="00460588">
    <w:r>
      <w:rPr>
        <w:noProof/>
        <w:lang w:eastAsia="sv-SE"/>
      </w:rPr>
      <w:drawing>
        <wp:anchor distT="0" distB="0" distL="114300" distR="114300" simplePos="0" relativeHeight="251659264" behindDoc="0" locked="0" layoutInCell="1" allowOverlap="1" wp14:anchorId="21EB45EB" wp14:editId="59E609EF">
          <wp:simplePos x="0" y="0"/>
          <wp:positionH relativeFrom="column">
            <wp:posOffset>-570523</wp:posOffset>
          </wp:positionH>
          <wp:positionV relativeFrom="page">
            <wp:posOffset>359313</wp:posOffset>
          </wp:positionV>
          <wp:extent cx="954000" cy="954000"/>
          <wp:effectExtent l="0" t="0" r="0" b="0"/>
          <wp:wrapNone/>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7AE13FA5" w14:textId="77777777" w:rsidR="00B64A9B" w:rsidRDefault="00B64A9B"/>
  <w:p w14:paraId="2E53A516" w14:textId="77777777" w:rsidR="00B64A9B" w:rsidRDefault="00B64A9B"/>
  <w:p w14:paraId="59F1187A" w14:textId="77777777" w:rsidR="0077255F" w:rsidRDefault="0077255F"/>
  <w:p w14:paraId="1144F835" w14:textId="77777777" w:rsidR="00B64A9B" w:rsidRDefault="00B64A9B"/>
  <w:p w14:paraId="1DF2D4B6" w14:textId="77777777" w:rsidR="00B64A9B" w:rsidRDefault="00B64A9B"/>
  <w:p w14:paraId="07D6FA3A" w14:textId="77777777" w:rsidR="00B64A9B" w:rsidRDefault="00B64A9B"/>
  <w:p w14:paraId="5D4A27B5" w14:textId="77777777" w:rsidR="000C7491" w:rsidRDefault="000C7491"/>
  <w:p w14:paraId="00E24424" w14:textId="77777777"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0F1278"/>
    <w:multiLevelType w:val="hybridMultilevel"/>
    <w:tmpl w:val="67EC26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8280B84"/>
    <w:multiLevelType w:val="hybridMultilevel"/>
    <w:tmpl w:val="DAC43D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691A5289"/>
    <w:multiLevelType w:val="hybridMultilevel"/>
    <w:tmpl w:val="9F2284EE"/>
    <w:lvl w:ilvl="0" w:tplc="39AE3048">
      <w:start w:val="1"/>
      <w:numFmt w:val="decimal"/>
      <w:lvlText w:val="%1."/>
      <w:lvlJc w:val="left"/>
      <w:pPr>
        <w:ind w:left="720" w:hanging="360"/>
      </w:pPr>
      <w:rPr>
        <w:rFonts w:asciiTheme="minorHAnsi" w:hAnsiTheme="minorHAnsi" w:hint="default"/>
        <w:b w:val="0"/>
        <w:i w:val="0"/>
        <w:sz w:val="16"/>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1E52B52"/>
    <w:multiLevelType w:val="multilevel"/>
    <w:tmpl w:val="231A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89681728">
    <w:abstractNumId w:val="10"/>
  </w:num>
  <w:num w:numId="2" w16cid:durableId="847908976">
    <w:abstractNumId w:val="3"/>
  </w:num>
  <w:num w:numId="3" w16cid:durableId="2078739946">
    <w:abstractNumId w:val="2"/>
  </w:num>
  <w:num w:numId="4" w16cid:durableId="1994871984">
    <w:abstractNumId w:val="11"/>
  </w:num>
  <w:num w:numId="5" w16cid:durableId="92240964">
    <w:abstractNumId w:val="7"/>
  </w:num>
  <w:num w:numId="6" w16cid:durableId="1738935948">
    <w:abstractNumId w:val="6"/>
  </w:num>
  <w:num w:numId="7" w16cid:durableId="281158897">
    <w:abstractNumId w:val="8"/>
  </w:num>
  <w:num w:numId="8" w16cid:durableId="534276508">
    <w:abstractNumId w:val="9"/>
  </w:num>
  <w:num w:numId="9" w16cid:durableId="964963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473585">
    <w:abstractNumId w:val="19"/>
  </w:num>
  <w:num w:numId="11" w16cid:durableId="471411417">
    <w:abstractNumId w:val="13"/>
  </w:num>
  <w:num w:numId="12" w16cid:durableId="294607825">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2076781679">
    <w:abstractNumId w:val="14"/>
  </w:num>
  <w:num w:numId="14" w16cid:durableId="395012580">
    <w:abstractNumId w:val="12"/>
  </w:num>
  <w:num w:numId="15" w16cid:durableId="635332522">
    <w:abstractNumId w:val="4"/>
  </w:num>
  <w:num w:numId="16" w16cid:durableId="1902016679">
    <w:abstractNumId w:val="5"/>
  </w:num>
  <w:num w:numId="17" w16cid:durableId="1181242335">
    <w:abstractNumId w:val="0"/>
  </w:num>
  <w:num w:numId="18" w16cid:durableId="481771542">
    <w:abstractNumId w:val="1"/>
  </w:num>
  <w:num w:numId="19" w16cid:durableId="981815543">
    <w:abstractNumId w:val="17"/>
  </w:num>
  <w:num w:numId="20" w16cid:durableId="617220224">
    <w:abstractNumId w:val="18"/>
  </w:num>
  <w:num w:numId="21" w16cid:durableId="616911445">
    <w:abstractNumId w:val="15"/>
  </w:num>
  <w:num w:numId="22" w16cid:durableId="2077822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07"/>
    <w:rsid w:val="00001A5B"/>
    <w:rsid w:val="00004AF0"/>
    <w:rsid w:val="00012FD0"/>
    <w:rsid w:val="00031B5C"/>
    <w:rsid w:val="00037A26"/>
    <w:rsid w:val="00060B88"/>
    <w:rsid w:val="00065F6A"/>
    <w:rsid w:val="0007615F"/>
    <w:rsid w:val="00091269"/>
    <w:rsid w:val="00096C27"/>
    <w:rsid w:val="000B4D37"/>
    <w:rsid w:val="000C7491"/>
    <w:rsid w:val="000E33B6"/>
    <w:rsid w:val="000F0D78"/>
    <w:rsid w:val="00100CFC"/>
    <w:rsid w:val="001055CE"/>
    <w:rsid w:val="0012465C"/>
    <w:rsid w:val="00153057"/>
    <w:rsid w:val="001621F9"/>
    <w:rsid w:val="00166316"/>
    <w:rsid w:val="0018642A"/>
    <w:rsid w:val="00192EFC"/>
    <w:rsid w:val="001A2CBD"/>
    <w:rsid w:val="001C7D03"/>
    <w:rsid w:val="001E7F56"/>
    <w:rsid w:val="001F3547"/>
    <w:rsid w:val="00207DB9"/>
    <w:rsid w:val="00214024"/>
    <w:rsid w:val="002179BC"/>
    <w:rsid w:val="00222A0D"/>
    <w:rsid w:val="00242EE0"/>
    <w:rsid w:val="00265C94"/>
    <w:rsid w:val="002749BA"/>
    <w:rsid w:val="00283945"/>
    <w:rsid w:val="002A115A"/>
    <w:rsid w:val="002D5D04"/>
    <w:rsid w:val="002E145B"/>
    <w:rsid w:val="002E47D4"/>
    <w:rsid w:val="002E5B94"/>
    <w:rsid w:val="002F10C1"/>
    <w:rsid w:val="003063C4"/>
    <w:rsid w:val="00310604"/>
    <w:rsid w:val="00316142"/>
    <w:rsid w:val="00321007"/>
    <w:rsid w:val="00326A21"/>
    <w:rsid w:val="00354E81"/>
    <w:rsid w:val="0036126D"/>
    <w:rsid w:val="00367988"/>
    <w:rsid w:val="00373A25"/>
    <w:rsid w:val="0038081F"/>
    <w:rsid w:val="00383258"/>
    <w:rsid w:val="003A221F"/>
    <w:rsid w:val="003B55F6"/>
    <w:rsid w:val="003C5C7A"/>
    <w:rsid w:val="003D5E50"/>
    <w:rsid w:val="003F0FAA"/>
    <w:rsid w:val="003F35E7"/>
    <w:rsid w:val="00460588"/>
    <w:rsid w:val="004849FA"/>
    <w:rsid w:val="00484AB4"/>
    <w:rsid w:val="00492F0D"/>
    <w:rsid w:val="004A3440"/>
    <w:rsid w:val="004C52CD"/>
    <w:rsid w:val="004E56E7"/>
    <w:rsid w:val="004F1145"/>
    <w:rsid w:val="00516DC6"/>
    <w:rsid w:val="00516DE4"/>
    <w:rsid w:val="00523FF5"/>
    <w:rsid w:val="00547786"/>
    <w:rsid w:val="00547E65"/>
    <w:rsid w:val="00572583"/>
    <w:rsid w:val="005753BC"/>
    <w:rsid w:val="0057553D"/>
    <w:rsid w:val="005A5E8A"/>
    <w:rsid w:val="005A7B16"/>
    <w:rsid w:val="005A7EF6"/>
    <w:rsid w:val="005C0B09"/>
    <w:rsid w:val="005D3D52"/>
    <w:rsid w:val="005D4358"/>
    <w:rsid w:val="005E389B"/>
    <w:rsid w:val="005F6077"/>
    <w:rsid w:val="00602EBA"/>
    <w:rsid w:val="00611DEC"/>
    <w:rsid w:val="00633E64"/>
    <w:rsid w:val="006356E9"/>
    <w:rsid w:val="006574CC"/>
    <w:rsid w:val="00673AB0"/>
    <w:rsid w:val="006751AD"/>
    <w:rsid w:val="00677802"/>
    <w:rsid w:val="00692949"/>
    <w:rsid w:val="006A7494"/>
    <w:rsid w:val="006C3154"/>
    <w:rsid w:val="006D4652"/>
    <w:rsid w:val="006F6586"/>
    <w:rsid w:val="007004D1"/>
    <w:rsid w:val="0070178D"/>
    <w:rsid w:val="00716E5A"/>
    <w:rsid w:val="00730430"/>
    <w:rsid w:val="00735B26"/>
    <w:rsid w:val="00771B13"/>
    <w:rsid w:val="0077255F"/>
    <w:rsid w:val="007835A7"/>
    <w:rsid w:val="007871F1"/>
    <w:rsid w:val="00792464"/>
    <w:rsid w:val="007B03F4"/>
    <w:rsid w:val="007B0E8F"/>
    <w:rsid w:val="007F3C19"/>
    <w:rsid w:val="007F67AA"/>
    <w:rsid w:val="007F705A"/>
    <w:rsid w:val="00825507"/>
    <w:rsid w:val="00830704"/>
    <w:rsid w:val="0083088E"/>
    <w:rsid w:val="008408F1"/>
    <w:rsid w:val="00841782"/>
    <w:rsid w:val="00863257"/>
    <w:rsid w:val="00873303"/>
    <w:rsid w:val="008815CA"/>
    <w:rsid w:val="008822FA"/>
    <w:rsid w:val="00886DD5"/>
    <w:rsid w:val="008905C1"/>
    <w:rsid w:val="008B6DFE"/>
    <w:rsid w:val="008C6B72"/>
    <w:rsid w:val="008E4593"/>
    <w:rsid w:val="008F1D0C"/>
    <w:rsid w:val="00904260"/>
    <w:rsid w:val="0091374B"/>
    <w:rsid w:val="00916344"/>
    <w:rsid w:val="00922FFA"/>
    <w:rsid w:val="009361E7"/>
    <w:rsid w:val="00937E6A"/>
    <w:rsid w:val="0097551B"/>
    <w:rsid w:val="00981197"/>
    <w:rsid w:val="00983EC3"/>
    <w:rsid w:val="009A3428"/>
    <w:rsid w:val="009A59C3"/>
    <w:rsid w:val="009E5313"/>
    <w:rsid w:val="00A011CC"/>
    <w:rsid w:val="00A058D5"/>
    <w:rsid w:val="00A264D4"/>
    <w:rsid w:val="00A32C0E"/>
    <w:rsid w:val="00A37248"/>
    <w:rsid w:val="00A44B28"/>
    <w:rsid w:val="00A506FD"/>
    <w:rsid w:val="00A62D58"/>
    <w:rsid w:val="00A70F5E"/>
    <w:rsid w:val="00A77340"/>
    <w:rsid w:val="00A833EA"/>
    <w:rsid w:val="00A94561"/>
    <w:rsid w:val="00AA1D12"/>
    <w:rsid w:val="00AA3946"/>
    <w:rsid w:val="00AB37AC"/>
    <w:rsid w:val="00AB5D2D"/>
    <w:rsid w:val="00AE299D"/>
    <w:rsid w:val="00AF0371"/>
    <w:rsid w:val="00B00BC7"/>
    <w:rsid w:val="00B02309"/>
    <w:rsid w:val="00B3103F"/>
    <w:rsid w:val="00B411DA"/>
    <w:rsid w:val="00B4734D"/>
    <w:rsid w:val="00B5121A"/>
    <w:rsid w:val="00B56E7C"/>
    <w:rsid w:val="00B64A9B"/>
    <w:rsid w:val="00B65E36"/>
    <w:rsid w:val="00B73A5D"/>
    <w:rsid w:val="00B90528"/>
    <w:rsid w:val="00BA3312"/>
    <w:rsid w:val="00BA4B4E"/>
    <w:rsid w:val="00BA60E0"/>
    <w:rsid w:val="00BB355C"/>
    <w:rsid w:val="00BC64D7"/>
    <w:rsid w:val="00BD02FB"/>
    <w:rsid w:val="00BD10EE"/>
    <w:rsid w:val="00C06690"/>
    <w:rsid w:val="00C40FDD"/>
    <w:rsid w:val="00C4232C"/>
    <w:rsid w:val="00C46B7C"/>
    <w:rsid w:val="00C5209A"/>
    <w:rsid w:val="00C65034"/>
    <w:rsid w:val="00C7384A"/>
    <w:rsid w:val="00C87FA2"/>
    <w:rsid w:val="00CE279C"/>
    <w:rsid w:val="00CF7A0B"/>
    <w:rsid w:val="00D2245B"/>
    <w:rsid w:val="00D42683"/>
    <w:rsid w:val="00D52965"/>
    <w:rsid w:val="00D913A5"/>
    <w:rsid w:val="00D9197D"/>
    <w:rsid w:val="00DD4A2F"/>
    <w:rsid w:val="00DD7D4D"/>
    <w:rsid w:val="00DE05A2"/>
    <w:rsid w:val="00DF541D"/>
    <w:rsid w:val="00E05C30"/>
    <w:rsid w:val="00E13D89"/>
    <w:rsid w:val="00E179F1"/>
    <w:rsid w:val="00E17F2D"/>
    <w:rsid w:val="00E2495C"/>
    <w:rsid w:val="00E61ED9"/>
    <w:rsid w:val="00E67E29"/>
    <w:rsid w:val="00E80407"/>
    <w:rsid w:val="00EA5FB4"/>
    <w:rsid w:val="00EB07F4"/>
    <w:rsid w:val="00EB1D22"/>
    <w:rsid w:val="00EB7BE6"/>
    <w:rsid w:val="00ED3A35"/>
    <w:rsid w:val="00ED60C1"/>
    <w:rsid w:val="00EF1D64"/>
    <w:rsid w:val="00F13942"/>
    <w:rsid w:val="00F25186"/>
    <w:rsid w:val="00F41DD7"/>
    <w:rsid w:val="00F54DA1"/>
    <w:rsid w:val="00F57388"/>
    <w:rsid w:val="00F61E2B"/>
    <w:rsid w:val="00F6796A"/>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42B2"/>
  <w15:docId w15:val="{E8A21026-5BCD-4DF1-BD21-EA97AC8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269"/>
    <w:rPr>
      <w:sz w:val="22"/>
    </w:rPr>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69"/>
    <w:pPr>
      <w:spacing w:after="240" w:line="260" w:lineRule="atLeast"/>
    </w:p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sz w:val="20"/>
    </w:rPr>
  </w:style>
  <w:style w:type="paragraph" w:styleId="TOC2">
    <w:name w:val="toc 2"/>
    <w:basedOn w:val="Normal"/>
    <w:next w:val="Normal"/>
    <w:uiPriority w:val="39"/>
    <w:rsid w:val="001F3547"/>
    <w:pPr>
      <w:spacing w:before="120"/>
      <w:ind w:left="220"/>
    </w:pPr>
    <w:rPr>
      <w:i/>
      <w:iCs/>
      <w:sz w:val="20"/>
    </w:rPr>
  </w:style>
  <w:style w:type="paragraph" w:styleId="TOC3">
    <w:name w:val="toc 3"/>
    <w:basedOn w:val="Normal"/>
    <w:next w:val="Normal"/>
    <w:uiPriority w:val="39"/>
    <w:semiHidden/>
    <w:rsid w:val="001F3547"/>
    <w:pPr>
      <w:ind w:left="440"/>
    </w:pPr>
    <w:rPr>
      <w:sz w:val="20"/>
    </w:r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style>
  <w:style w:type="paragraph" w:styleId="TOC4">
    <w:name w:val="toc 4"/>
    <w:basedOn w:val="Normal"/>
    <w:next w:val="Normal"/>
    <w:autoRedefine/>
    <w:uiPriority w:val="39"/>
    <w:semiHidden/>
    <w:unhideWhenUsed/>
    <w:rsid w:val="007871F1"/>
    <w:pPr>
      <w:ind w:left="660"/>
    </w:pPr>
    <w:rPr>
      <w:sz w:val="20"/>
    </w:rPr>
  </w:style>
  <w:style w:type="paragraph" w:styleId="TOC5">
    <w:name w:val="toc 5"/>
    <w:basedOn w:val="Normal"/>
    <w:next w:val="Normal"/>
    <w:autoRedefine/>
    <w:uiPriority w:val="39"/>
    <w:semiHidden/>
    <w:unhideWhenUsed/>
    <w:rsid w:val="007871F1"/>
    <w:pPr>
      <w:ind w:left="880"/>
    </w:pPr>
    <w:rPr>
      <w:sz w:val="20"/>
    </w:rPr>
  </w:style>
  <w:style w:type="paragraph" w:styleId="TOC6">
    <w:name w:val="toc 6"/>
    <w:basedOn w:val="Normal"/>
    <w:next w:val="Normal"/>
    <w:autoRedefine/>
    <w:uiPriority w:val="39"/>
    <w:semiHidden/>
    <w:unhideWhenUsed/>
    <w:rsid w:val="007871F1"/>
    <w:pPr>
      <w:ind w:left="1100"/>
    </w:pPr>
    <w:rPr>
      <w:sz w:val="20"/>
    </w:rPr>
  </w:style>
  <w:style w:type="paragraph" w:styleId="TOC7">
    <w:name w:val="toc 7"/>
    <w:basedOn w:val="Normal"/>
    <w:next w:val="Normal"/>
    <w:autoRedefine/>
    <w:uiPriority w:val="39"/>
    <w:semiHidden/>
    <w:unhideWhenUsed/>
    <w:rsid w:val="007871F1"/>
    <w:pPr>
      <w:ind w:left="1320"/>
    </w:pPr>
    <w:rPr>
      <w:sz w:val="20"/>
    </w:rPr>
  </w:style>
  <w:style w:type="paragraph" w:styleId="TOC8">
    <w:name w:val="toc 8"/>
    <w:basedOn w:val="Normal"/>
    <w:next w:val="Normal"/>
    <w:autoRedefine/>
    <w:uiPriority w:val="39"/>
    <w:semiHidden/>
    <w:unhideWhenUsed/>
    <w:rsid w:val="007871F1"/>
    <w:pPr>
      <w:ind w:left="1540"/>
    </w:pPr>
    <w:rPr>
      <w:sz w:val="20"/>
    </w:rPr>
  </w:style>
  <w:style w:type="paragraph" w:styleId="TOC9">
    <w:name w:val="toc 9"/>
    <w:basedOn w:val="Normal"/>
    <w:next w:val="Normal"/>
    <w:autoRedefine/>
    <w:uiPriority w:val="39"/>
    <w:semiHidden/>
    <w:unhideWhenUsed/>
    <w:rsid w:val="007871F1"/>
    <w:pPr>
      <w:ind w:left="1760"/>
    </w:pPr>
    <w:rPr>
      <w:sz w:val="20"/>
    </w:rPr>
  </w:style>
  <w:style w:type="paragraph" w:styleId="NormalWeb">
    <w:name w:val="Normal (Web)"/>
    <w:basedOn w:val="Normal"/>
    <w:uiPriority w:val="99"/>
    <w:unhideWhenUsed/>
    <w:rsid w:val="00321007"/>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th.se/om/kontakt/faktura-och-betalning-kth-1.23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g.se/kunskap-och-stod/e-handel/lag-forordning-och-foreskrifter/for-dig-som-ar-leverantor-till-offentliga-aktor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1AA5-CA65-4C00-90F3-1007397A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fsna-3.ug.kth.se\kthwin\office\templates\KTH Grundmall.dotx</Template>
  <TotalTime>3</TotalTime>
  <Pages>3</Pages>
  <Words>2523</Words>
  <Characters>14384</Characters>
  <Application>Microsoft Office Word</Application>
  <DocSecurity>0</DocSecurity>
  <Lines>119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Berling</dc:creator>
  <cp:lastModifiedBy>Kristina Holmberg</cp:lastModifiedBy>
  <cp:revision>4</cp:revision>
  <dcterms:created xsi:type="dcterms:W3CDTF">2025-04-11T06:49:00Z</dcterms:created>
  <dcterms:modified xsi:type="dcterms:W3CDTF">2025-04-11T06:52:00Z</dcterms:modified>
</cp:coreProperties>
</file>