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tiff" ContentType="image/tif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312" w:rsidRDefault="00357312"/>
    <w:p w:rsidR="00357312" w:rsidRDefault="00357312"/>
    <w:p w:rsidR="00357312" w:rsidRDefault="00357312" w:rsidP="00F33389">
      <w:pPr>
        <w:pStyle w:val="Rubrik5"/>
        <w:rPr>
          <w:rFonts w:ascii="Arial" w:hAnsi="Arial" w:cs="Arial"/>
          <w:sz w:val="56"/>
        </w:rPr>
      </w:pPr>
    </w:p>
    <w:p w:rsidR="00B66D8E" w:rsidRDefault="00B66D8E">
      <w:pPr>
        <w:pStyle w:val="Rubrik5"/>
        <w:ind w:left="-1276"/>
        <w:rPr>
          <w:rFonts w:ascii="Arial" w:hAnsi="Arial" w:cs="Arial"/>
          <w:sz w:val="56"/>
        </w:rPr>
      </w:pPr>
    </w:p>
    <w:p w:rsidR="00B66D8E" w:rsidRDefault="00B66D8E">
      <w:pPr>
        <w:pStyle w:val="Rubrik5"/>
        <w:ind w:left="-1276"/>
        <w:rPr>
          <w:rFonts w:ascii="Arial" w:hAnsi="Arial" w:cs="Arial"/>
          <w:sz w:val="56"/>
        </w:rPr>
      </w:pPr>
    </w:p>
    <w:p w:rsidR="00B66D8E" w:rsidRDefault="00B66D8E">
      <w:pPr>
        <w:pStyle w:val="Rubrik5"/>
        <w:ind w:left="-1276"/>
        <w:rPr>
          <w:rFonts w:ascii="Arial" w:hAnsi="Arial" w:cs="Arial"/>
        </w:rPr>
      </w:pPr>
    </w:p>
    <w:p w:rsidR="00357312" w:rsidRDefault="0037077C">
      <w:pPr>
        <w:pStyle w:val="Rubrik5"/>
        <w:ind w:left="-1276"/>
        <w:rPr>
          <w:rFonts w:ascii="Arial" w:hAnsi="Arial" w:cs="Arial"/>
        </w:rPr>
      </w:pPr>
      <w:r>
        <w:rPr>
          <w:rFonts w:ascii="Arial" w:hAnsi="Arial" w:cs="Arial"/>
        </w:rPr>
        <w:t xml:space="preserve">     </w:t>
      </w:r>
      <w:r w:rsidR="00905DC2">
        <w:rPr>
          <w:rFonts w:ascii="Arial" w:hAnsi="Arial" w:cs="Arial"/>
        </w:rPr>
        <w:t xml:space="preserve">   </w:t>
      </w:r>
      <w:r>
        <w:rPr>
          <w:rFonts w:ascii="Arial" w:hAnsi="Arial" w:cs="Arial"/>
        </w:rPr>
        <w:t xml:space="preserve">Mellanårsenkät </w:t>
      </w:r>
      <w:r w:rsidR="00CB518B">
        <w:rPr>
          <w:rFonts w:ascii="Arial" w:hAnsi="Arial" w:cs="Arial"/>
        </w:rPr>
        <w:t>20</w:t>
      </w:r>
      <w:r>
        <w:rPr>
          <w:rFonts w:ascii="Arial" w:hAnsi="Arial" w:cs="Arial"/>
        </w:rPr>
        <w:t>1</w:t>
      </w:r>
      <w:r w:rsidR="00CB518B">
        <w:rPr>
          <w:rFonts w:ascii="Arial" w:hAnsi="Arial" w:cs="Arial"/>
        </w:rPr>
        <w:t>0</w:t>
      </w:r>
    </w:p>
    <w:p w:rsidR="00357312" w:rsidRDefault="00357312">
      <w:pPr>
        <w:rPr>
          <w:sz w:val="52"/>
        </w:rPr>
      </w:pPr>
    </w:p>
    <w:p w:rsidR="00357312" w:rsidRDefault="00357312">
      <w:pPr>
        <w:rPr>
          <w:sz w:val="52"/>
        </w:rPr>
      </w:pPr>
      <w:r>
        <w:rPr>
          <w:sz w:val="52"/>
        </w:rPr>
        <w:t xml:space="preserve">    Teknisk rapport</w:t>
      </w:r>
    </w:p>
    <w:p w:rsidR="00357312" w:rsidRDefault="00357312">
      <w:pPr>
        <w:rPr>
          <w:sz w:val="52"/>
        </w:rPr>
      </w:pPr>
    </w:p>
    <w:p w:rsidR="00357312" w:rsidRDefault="00354F3E">
      <w:pPr>
        <w:rPr>
          <w:sz w:val="52"/>
        </w:rPr>
      </w:pPr>
      <w:r>
        <w:rPr>
          <w:rFonts w:ascii="Verdana" w:hAnsi="Verdana"/>
          <w:noProof/>
          <w:color w:val="343434"/>
          <w:sz w:val="20"/>
          <w:szCs w:val="17"/>
        </w:rPr>
        <w:drawing>
          <wp:anchor distT="0" distB="0" distL="114300" distR="114300" simplePos="0" relativeHeight="251657728" behindDoc="0" locked="0" layoutInCell="1" allowOverlap="1">
            <wp:simplePos x="0" y="0"/>
            <wp:positionH relativeFrom="column">
              <wp:posOffset>913765</wp:posOffset>
            </wp:positionH>
            <wp:positionV relativeFrom="paragraph">
              <wp:posOffset>50800</wp:posOffset>
            </wp:positionV>
            <wp:extent cx="990600" cy="990600"/>
            <wp:effectExtent l="19050" t="0" r="0" b="0"/>
            <wp:wrapNone/>
            <wp:docPr id="3" name="Bild 3" descr="ol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le0"/>
                    <pic:cNvPicPr>
                      <a:picLocks noChangeAspect="1" noChangeArrowheads="1"/>
                    </pic:cNvPicPr>
                  </pic:nvPicPr>
                  <pic:blipFill>
                    <a:blip r:embed="rId7" cstate="print"/>
                    <a:srcRect/>
                    <a:stretch>
                      <a:fillRect/>
                    </a:stretch>
                  </pic:blipFill>
                  <pic:spPr bwMode="auto">
                    <a:xfrm>
                      <a:off x="0" y="0"/>
                      <a:ext cx="990600" cy="990600"/>
                    </a:xfrm>
                    <a:prstGeom prst="rect">
                      <a:avLst/>
                    </a:prstGeom>
                    <a:noFill/>
                    <a:ln w="9525">
                      <a:noFill/>
                      <a:miter lim="800000"/>
                      <a:headEnd/>
                      <a:tailEnd/>
                    </a:ln>
                  </pic:spPr>
                </pic:pic>
              </a:graphicData>
            </a:graphic>
          </wp:anchor>
        </w:drawing>
      </w:r>
    </w:p>
    <w:p w:rsidR="00357312" w:rsidRDefault="00357312">
      <w:pPr>
        <w:rPr>
          <w:rFonts w:ascii="Verdana" w:hAnsi="Verdana"/>
          <w:color w:val="343434"/>
          <w:sz w:val="17"/>
          <w:szCs w:val="17"/>
        </w:rPr>
      </w:pPr>
      <w:r>
        <w:rPr>
          <w:sz w:val="20"/>
        </w:rPr>
        <w:t xml:space="preserve">                            </w:t>
      </w:r>
    </w:p>
    <w:p w:rsidR="00357312" w:rsidRDefault="00357312">
      <w:pPr>
        <w:rPr>
          <w:rFonts w:ascii="Verdana" w:hAnsi="Verdana"/>
          <w:color w:val="343434"/>
          <w:sz w:val="17"/>
          <w:szCs w:val="17"/>
        </w:rPr>
      </w:pPr>
    </w:p>
    <w:p w:rsidR="00357312" w:rsidRDefault="00357312">
      <w:pPr>
        <w:rPr>
          <w:rFonts w:ascii="Verdana" w:hAnsi="Verdana"/>
          <w:color w:val="343434"/>
          <w:sz w:val="17"/>
          <w:szCs w:val="17"/>
        </w:rPr>
      </w:pPr>
    </w:p>
    <w:p w:rsidR="00DE641D" w:rsidRDefault="00B66D8E" w:rsidP="00A22F50">
      <w:pPr>
        <w:pStyle w:val="Rubrik1"/>
        <w:rPr>
          <w:b w:val="0"/>
          <w:i/>
          <w:sz w:val="36"/>
        </w:rPr>
      </w:pPr>
      <w:r>
        <w:rPr>
          <w:sz w:val="52"/>
        </w:rPr>
        <w:br w:type="page"/>
      </w:r>
    </w:p>
    <w:p w:rsidR="00DE641D" w:rsidRPr="00D6768D" w:rsidRDefault="00DE641D" w:rsidP="00DE641D">
      <w:pPr>
        <w:pStyle w:val="Rubrik2"/>
        <w:rPr>
          <w:i/>
        </w:rPr>
      </w:pPr>
      <w:r w:rsidRPr="00D6768D">
        <w:lastRenderedPageBreak/>
        <w:t>Inledning</w:t>
      </w:r>
    </w:p>
    <w:p w:rsidR="00DE641D" w:rsidRPr="00D6768D" w:rsidRDefault="00DE641D" w:rsidP="00DE641D">
      <w:pPr>
        <w:pStyle w:val="Brdtext"/>
        <w:rPr>
          <w:color w:val="auto"/>
        </w:rPr>
      </w:pPr>
      <w:r w:rsidRPr="00D6768D">
        <w:rPr>
          <w:color w:val="auto"/>
        </w:rPr>
        <w:t xml:space="preserve">Enheten för </w:t>
      </w:r>
      <w:r w:rsidR="00A22F50">
        <w:rPr>
          <w:color w:val="auto"/>
        </w:rPr>
        <w:t xml:space="preserve">statistik om </w:t>
      </w:r>
      <w:r w:rsidRPr="00D6768D">
        <w:rPr>
          <w:color w:val="auto"/>
        </w:rPr>
        <w:t>utbildning och arbet</w:t>
      </w:r>
      <w:r w:rsidR="00A22F50">
        <w:rPr>
          <w:color w:val="auto"/>
        </w:rPr>
        <w:t>e</w:t>
      </w:r>
      <w:r w:rsidRPr="00D6768D">
        <w:rPr>
          <w:color w:val="auto"/>
        </w:rPr>
        <w:t xml:space="preserve"> vid Statistiska centralbyrån (SCB) har under </w:t>
      </w:r>
      <w:r w:rsidR="00A22F50">
        <w:rPr>
          <w:color w:val="auto"/>
        </w:rPr>
        <w:t xml:space="preserve">april </w:t>
      </w:r>
      <w:r w:rsidRPr="00D6768D">
        <w:rPr>
          <w:color w:val="auto"/>
        </w:rPr>
        <w:t>-</w:t>
      </w:r>
      <w:r w:rsidR="00A22F50">
        <w:rPr>
          <w:color w:val="auto"/>
        </w:rPr>
        <w:t xml:space="preserve"> </w:t>
      </w:r>
      <w:r>
        <w:rPr>
          <w:color w:val="auto"/>
        </w:rPr>
        <w:t>augusti</w:t>
      </w:r>
      <w:r w:rsidRPr="00D6768D">
        <w:rPr>
          <w:color w:val="auto"/>
        </w:rPr>
        <w:t xml:space="preserve"> 20</w:t>
      </w:r>
      <w:r w:rsidR="00A22F50">
        <w:rPr>
          <w:color w:val="auto"/>
        </w:rPr>
        <w:t>1</w:t>
      </w:r>
      <w:r w:rsidRPr="00D6768D">
        <w:rPr>
          <w:color w:val="auto"/>
        </w:rPr>
        <w:t>0 genomfört en enkätunder</w:t>
      </w:r>
      <w:r w:rsidRPr="00D6768D">
        <w:rPr>
          <w:color w:val="auto"/>
        </w:rPr>
        <w:softHyphen/>
        <w:t>sökning på uppdrag av Kungliga tekniska Högskolan (KTH). Syftet var att undersöka hur studenterna upplever sin studiemiljö på KTH.</w:t>
      </w:r>
    </w:p>
    <w:p w:rsidR="00DE641D" w:rsidRPr="00D6768D" w:rsidRDefault="00DE641D" w:rsidP="00DE641D">
      <w:pPr>
        <w:pStyle w:val="Innehll1"/>
        <w:tabs>
          <w:tab w:val="clear" w:pos="7070"/>
          <w:tab w:val="clear" w:pos="7200"/>
        </w:tabs>
      </w:pPr>
    </w:p>
    <w:p w:rsidR="00DE641D" w:rsidRPr="00F24189" w:rsidRDefault="00DE641D" w:rsidP="00DE641D">
      <w:pPr>
        <w:pStyle w:val="Brdtext"/>
        <w:rPr>
          <w:color w:val="auto"/>
        </w:rPr>
      </w:pPr>
      <w:r w:rsidRPr="00F24189">
        <w:rPr>
          <w:color w:val="auto"/>
        </w:rPr>
        <w:t xml:space="preserve">Undersökningen genomfördes som en postenkät </w:t>
      </w:r>
      <w:r w:rsidRPr="007F335C">
        <w:rPr>
          <w:color w:val="auto"/>
        </w:rPr>
        <w:t>med tre påminnelser</w:t>
      </w:r>
      <w:r w:rsidRPr="00F24189">
        <w:rPr>
          <w:color w:val="auto"/>
        </w:rPr>
        <w:t xml:space="preserve">. Populationen utgjordes av studerande på KTH som kommit ungefär halvvägs i sin utbildning. Totalt var det </w:t>
      </w:r>
      <w:r w:rsidR="009F30D5">
        <w:rPr>
          <w:color w:val="auto"/>
        </w:rPr>
        <w:t>1 009</w:t>
      </w:r>
      <w:r w:rsidRPr="00F24189">
        <w:rPr>
          <w:color w:val="auto"/>
        </w:rPr>
        <w:t xml:space="preserve"> personer som besvarade frågeblanketten, vilket var 5</w:t>
      </w:r>
      <w:r w:rsidR="009F30D5">
        <w:rPr>
          <w:color w:val="auto"/>
        </w:rPr>
        <w:t>2</w:t>
      </w:r>
      <w:r w:rsidRPr="00F24189">
        <w:rPr>
          <w:color w:val="auto"/>
        </w:rPr>
        <w:t xml:space="preserve"> procent av urvalet. Frågeblanketterna registrerades med skanning. Från det skannade materialet framställdes tabeller och diagram.</w:t>
      </w:r>
    </w:p>
    <w:p w:rsidR="00DE641D" w:rsidRPr="00F24189" w:rsidRDefault="00DE641D" w:rsidP="00DE641D">
      <w:pPr>
        <w:pStyle w:val="Brdtext"/>
        <w:rPr>
          <w:color w:val="auto"/>
        </w:rPr>
      </w:pPr>
    </w:p>
    <w:p w:rsidR="00DE641D" w:rsidRPr="00F24189" w:rsidRDefault="009F30D5" w:rsidP="00DE641D">
      <w:pPr>
        <w:pStyle w:val="Brdtext"/>
        <w:rPr>
          <w:color w:val="auto"/>
        </w:rPr>
      </w:pPr>
      <w:r>
        <w:rPr>
          <w:color w:val="auto"/>
        </w:rPr>
        <w:t>Sinisa Sauli</w:t>
      </w:r>
      <w:r w:rsidR="00C34681">
        <w:rPr>
          <w:color w:val="auto"/>
        </w:rPr>
        <w:t xml:space="preserve"> har varit </w:t>
      </w:r>
      <w:r>
        <w:rPr>
          <w:color w:val="auto"/>
        </w:rPr>
        <w:t>undersökningsledare,</w:t>
      </w:r>
      <w:r w:rsidR="00DE641D" w:rsidRPr="00F32EF6">
        <w:rPr>
          <w:color w:val="auto"/>
        </w:rPr>
        <w:t xml:space="preserve"> </w:t>
      </w:r>
      <w:r>
        <w:rPr>
          <w:color w:val="auto"/>
        </w:rPr>
        <w:t>Johan Löfgren metodansvarig och Terttu Karlsson</w:t>
      </w:r>
      <w:r w:rsidR="00DE641D" w:rsidRPr="00F32EF6">
        <w:rPr>
          <w:color w:val="auto"/>
        </w:rPr>
        <w:t xml:space="preserve"> produktionsansvarig.</w:t>
      </w:r>
    </w:p>
    <w:p w:rsidR="00DE641D" w:rsidRPr="00F24189" w:rsidRDefault="00DE641D" w:rsidP="00DE641D">
      <w:pPr>
        <w:pStyle w:val="Brdtext"/>
        <w:rPr>
          <w:color w:val="auto"/>
        </w:rPr>
      </w:pPr>
    </w:p>
    <w:p w:rsidR="00DE641D" w:rsidRPr="00C34681" w:rsidRDefault="00DE641D" w:rsidP="00DE641D">
      <w:pPr>
        <w:pStyle w:val="Rubrik2"/>
        <w:rPr>
          <w:rFonts w:ascii="Times New Roman" w:hAnsi="Times New Roman"/>
        </w:rPr>
      </w:pPr>
      <w:r w:rsidRPr="00C34681">
        <w:t>Population och urval</w:t>
      </w:r>
    </w:p>
    <w:p w:rsidR="00DE641D" w:rsidRPr="001F2910" w:rsidRDefault="00DE641D" w:rsidP="00DE641D">
      <w:pPr>
        <w:pStyle w:val="Brdtext"/>
        <w:rPr>
          <w:color w:val="auto"/>
        </w:rPr>
      </w:pPr>
      <w:r w:rsidRPr="001F2910">
        <w:rPr>
          <w:color w:val="auto"/>
        </w:rPr>
        <w:t>Populationen, det vill säga de objekt som man vill kunna dra slutsatser om, utgjordes i undersökningen av studerande på KTH som kommit en bit in på sin utbildning. KTH skapade urvalsramen utifrån sitt register över studerand</w:t>
      </w:r>
      <w:r w:rsidR="00C34681">
        <w:rPr>
          <w:color w:val="auto"/>
        </w:rPr>
        <w:t>e.</w:t>
      </w:r>
      <w:r w:rsidRPr="001F2910">
        <w:rPr>
          <w:color w:val="auto"/>
        </w:rPr>
        <w:t xml:space="preserve"> Antalet </w:t>
      </w:r>
      <w:r w:rsidR="00C34681">
        <w:rPr>
          <w:color w:val="auto"/>
        </w:rPr>
        <w:t>individer</w:t>
      </w:r>
      <w:r w:rsidRPr="001F2910">
        <w:rPr>
          <w:color w:val="auto"/>
        </w:rPr>
        <w:t xml:space="preserve"> i ramen var 1 </w:t>
      </w:r>
      <w:r w:rsidR="00C34681">
        <w:rPr>
          <w:color w:val="auto"/>
        </w:rPr>
        <w:t>937</w:t>
      </w:r>
      <w:r w:rsidRPr="001F2910">
        <w:rPr>
          <w:color w:val="auto"/>
        </w:rPr>
        <w:t>.</w:t>
      </w:r>
      <w:r w:rsidR="00C34681">
        <w:rPr>
          <w:color w:val="auto"/>
        </w:rPr>
        <w:t xml:space="preserve"> Samtliga personer i ramen undersöktes (totalundersökning)</w:t>
      </w:r>
      <w:r w:rsidRPr="001F2910">
        <w:rPr>
          <w:color w:val="auto"/>
        </w:rPr>
        <w:t>.</w:t>
      </w:r>
    </w:p>
    <w:p w:rsidR="00DE641D" w:rsidRDefault="00DE641D" w:rsidP="00DE641D">
      <w:pPr>
        <w:pStyle w:val="Brdtext"/>
        <w:rPr>
          <w:color w:val="auto"/>
        </w:rPr>
      </w:pPr>
    </w:p>
    <w:p w:rsidR="00C34681" w:rsidRDefault="00C34681" w:rsidP="00DE641D">
      <w:pPr>
        <w:pStyle w:val="Brdtext"/>
        <w:rPr>
          <w:color w:val="auto"/>
        </w:rPr>
      </w:pPr>
      <w:r>
        <w:rPr>
          <w:color w:val="auto"/>
        </w:rPr>
        <w:t>Aktuella adresser hämtades från Registret över totalbefolkningen (RTB).</w:t>
      </w:r>
    </w:p>
    <w:p w:rsidR="00C34681" w:rsidRPr="001F2910" w:rsidRDefault="00C34681" w:rsidP="00DE641D">
      <w:pPr>
        <w:pStyle w:val="Brdtext"/>
        <w:rPr>
          <w:color w:val="auto"/>
        </w:rPr>
      </w:pPr>
    </w:p>
    <w:p w:rsidR="00DE641D" w:rsidRPr="001F2910" w:rsidRDefault="00DE641D" w:rsidP="00DE641D">
      <w:pPr>
        <w:pStyle w:val="Rubrik2"/>
        <w:rPr>
          <w:b w:val="0"/>
        </w:rPr>
      </w:pPr>
      <w:r w:rsidRPr="001F2910">
        <w:t>Sekretess och utlämnande</w:t>
      </w:r>
    </w:p>
    <w:p w:rsidR="00DE641D" w:rsidRPr="00DE641D" w:rsidRDefault="00DE641D" w:rsidP="00DE641D">
      <w:pPr>
        <w:pStyle w:val="Brdtext22"/>
        <w:ind w:left="0"/>
        <w:rPr>
          <w:color w:val="auto"/>
        </w:rPr>
      </w:pPr>
      <w:r w:rsidRPr="00DE641D">
        <w:rPr>
          <w:color w:val="auto"/>
        </w:rPr>
        <w:t>Med frågeblanketten följde ett informationsbrev där uppgiftslämnarna kunde läsa om undersökningens bakgrund, syfte och att undersökningen genomför</w:t>
      </w:r>
      <w:r w:rsidRPr="00DE641D">
        <w:rPr>
          <w:color w:val="auto"/>
        </w:rPr>
        <w:softHyphen/>
        <w:t xml:space="preserve">des i samarbete mellan KTH och SCB. Informationsbrevet informerade också om att uppgifter hämtades från KTH:s register, att </w:t>
      </w:r>
      <w:r w:rsidR="006C3658">
        <w:rPr>
          <w:color w:val="auto"/>
        </w:rPr>
        <w:t>svaren</w:t>
      </w:r>
      <w:r w:rsidRPr="00DE641D">
        <w:rPr>
          <w:color w:val="auto"/>
        </w:rPr>
        <w:t xml:space="preserve"> är skyddade av Personuppgiftslagen och Sekretesslagen</w:t>
      </w:r>
      <w:r w:rsidR="006C3658">
        <w:rPr>
          <w:color w:val="auto"/>
        </w:rPr>
        <w:t>, att insamlade uppgifter redovisas så att inga enskilda individers svar kan utläsas</w:t>
      </w:r>
      <w:r w:rsidRPr="00DE641D">
        <w:rPr>
          <w:color w:val="auto"/>
        </w:rPr>
        <w:t xml:space="preserve"> och att det var frivilligt att delta i undersökningen.</w:t>
      </w:r>
    </w:p>
    <w:p w:rsidR="00DE641D" w:rsidRPr="00DE641D" w:rsidRDefault="00DE641D" w:rsidP="00DE641D">
      <w:pPr>
        <w:pStyle w:val="Brdtext22"/>
        <w:ind w:left="0"/>
        <w:rPr>
          <w:color w:val="auto"/>
        </w:rPr>
      </w:pPr>
    </w:p>
    <w:p w:rsidR="00DE641D" w:rsidRPr="00DE641D" w:rsidRDefault="00DE641D" w:rsidP="00DE641D">
      <w:pPr>
        <w:pStyle w:val="Brdtext22"/>
        <w:ind w:left="0"/>
        <w:rPr>
          <w:color w:val="auto"/>
        </w:rPr>
      </w:pPr>
      <w:r w:rsidRPr="00DE641D">
        <w:rPr>
          <w:color w:val="auto"/>
        </w:rPr>
        <w:t>Behandlingen av personuppgifter i undersökningen har anmälts till SCB:s juridiska kansli.</w:t>
      </w:r>
    </w:p>
    <w:p w:rsidR="00DE641D" w:rsidRPr="00DE641D" w:rsidRDefault="00DE641D" w:rsidP="00DE641D">
      <w:pPr>
        <w:pStyle w:val="Brdtext22"/>
        <w:ind w:left="0"/>
        <w:rPr>
          <w:color w:val="auto"/>
        </w:rPr>
      </w:pPr>
    </w:p>
    <w:p w:rsidR="00DE641D" w:rsidRPr="00A37737" w:rsidRDefault="00DE641D" w:rsidP="00DE641D">
      <w:pPr>
        <w:pStyle w:val="Rubrik2"/>
      </w:pPr>
      <w:r w:rsidRPr="00A37737">
        <w:t xml:space="preserve">Variabler </w:t>
      </w:r>
    </w:p>
    <w:p w:rsidR="00DE641D" w:rsidRPr="00A37737" w:rsidRDefault="00DE641D" w:rsidP="00DE641D">
      <w:pPr>
        <w:pStyle w:val="Brdtext22"/>
        <w:ind w:left="0"/>
        <w:rPr>
          <w:color w:val="auto"/>
        </w:rPr>
      </w:pPr>
      <w:r w:rsidRPr="00A37737">
        <w:rPr>
          <w:color w:val="auto"/>
        </w:rPr>
        <w:t xml:space="preserve">Blanketten bestod av 22 numrerade frågor, flera av dem hade delfrågor vilket genererade totalt </w:t>
      </w:r>
      <w:r w:rsidR="006C3658">
        <w:rPr>
          <w:color w:val="auto"/>
        </w:rPr>
        <w:t>69</w:t>
      </w:r>
      <w:r w:rsidRPr="00A37737">
        <w:rPr>
          <w:color w:val="auto"/>
        </w:rPr>
        <w:t xml:space="preserve"> frågor. Frågorna handlade bl.a. om studiemiljön på KTH</w:t>
      </w:r>
      <w:r w:rsidR="00F729A1">
        <w:rPr>
          <w:color w:val="auto"/>
        </w:rPr>
        <w:t>, svårighetsgrad och tempo i utbildningen, studieuppehåll samt om negativt särbehandling vid KTH.</w:t>
      </w:r>
    </w:p>
    <w:p w:rsidR="00DE641D" w:rsidRPr="00A37737" w:rsidRDefault="00DE641D" w:rsidP="00DE641D">
      <w:pPr>
        <w:pStyle w:val="Brdtext22"/>
        <w:ind w:left="0"/>
        <w:rPr>
          <w:color w:val="auto"/>
        </w:rPr>
      </w:pPr>
    </w:p>
    <w:p w:rsidR="00DE641D" w:rsidRPr="00303297" w:rsidRDefault="00DE641D" w:rsidP="00DE641D">
      <w:pPr>
        <w:pStyle w:val="Brdtext22"/>
        <w:ind w:left="0"/>
        <w:rPr>
          <w:color w:val="auto"/>
        </w:rPr>
      </w:pPr>
      <w:r w:rsidRPr="00A37737">
        <w:rPr>
          <w:color w:val="auto"/>
        </w:rPr>
        <w:lastRenderedPageBreak/>
        <w:t>Jämfört</w:t>
      </w:r>
      <w:r w:rsidRPr="00303297">
        <w:rPr>
          <w:color w:val="auto"/>
        </w:rPr>
        <w:t xml:space="preserve"> med tidigare mellanårsenkäter har några frågor tillkommit, några har tagits bort och några har fått förändrade svarsalternativ. Många av frågorna är desamma som tidigare år.</w:t>
      </w:r>
    </w:p>
    <w:p w:rsidR="00DE641D" w:rsidRPr="00303297" w:rsidRDefault="00DE641D" w:rsidP="00DE641D">
      <w:pPr>
        <w:pStyle w:val="Brdtext22"/>
        <w:ind w:left="0"/>
        <w:rPr>
          <w:color w:val="auto"/>
        </w:rPr>
      </w:pPr>
    </w:p>
    <w:p w:rsidR="00DE641D" w:rsidRPr="00613F12" w:rsidRDefault="00DE641D" w:rsidP="00DE641D">
      <w:r w:rsidRPr="00303297">
        <w:t>Förutom de variabler som samlades in via frågeblanketten hämtades variabler från KTH:s register. Dessa är kön, ålder, skola och utbildningsprogram.</w:t>
      </w:r>
    </w:p>
    <w:p w:rsidR="00DE641D" w:rsidRPr="00613F12" w:rsidRDefault="00DE641D" w:rsidP="00DE641D"/>
    <w:p w:rsidR="00DE641D" w:rsidRPr="007F335C" w:rsidRDefault="00DE641D" w:rsidP="00DE641D">
      <w:pPr>
        <w:pStyle w:val="Rubrik2"/>
      </w:pPr>
      <w:r w:rsidRPr="007F335C">
        <w:t>Datainsamling</w:t>
      </w:r>
    </w:p>
    <w:p w:rsidR="00DE641D" w:rsidRPr="001851B6" w:rsidRDefault="00DE641D" w:rsidP="00DE641D">
      <w:r w:rsidRPr="00F32EF6">
        <w:t xml:space="preserve">Frågeblanketterna sändes till urvalspersonerna via post. I informationsbrevet ombads de besvara frågorna och skicka tillbaka frågeblanketten till SCB. Det första utskicket genomfördes </w:t>
      </w:r>
      <w:r w:rsidR="00D401C7">
        <w:t>den 7</w:t>
      </w:r>
      <w:r w:rsidRPr="000D2928">
        <w:t xml:space="preserve"> april, sedan skickades 3 påminnelser ut till dem som inte</w:t>
      </w:r>
      <w:r w:rsidR="00A66CFE">
        <w:t xml:space="preserve"> besvarat frågeblanketten, den 20 april, den 3 maj och den 19 maj</w:t>
      </w:r>
      <w:r w:rsidRPr="000D2928">
        <w:t xml:space="preserve">. </w:t>
      </w:r>
      <w:r w:rsidRPr="007F335C">
        <w:t xml:space="preserve">De tre påminnelserna innehöll </w:t>
      </w:r>
      <w:r>
        <w:t xml:space="preserve">ett </w:t>
      </w:r>
      <w:r w:rsidRPr="007F335C">
        <w:t xml:space="preserve">påminnelsebrev och </w:t>
      </w:r>
      <w:r>
        <w:t xml:space="preserve">en </w:t>
      </w:r>
      <w:r w:rsidRPr="007F335C">
        <w:t xml:space="preserve">ny </w:t>
      </w:r>
      <w:r w:rsidRPr="001851B6">
        <w:t>enk</w:t>
      </w:r>
      <w:r w:rsidR="00A66CFE">
        <w:t>ät. Insamlingen avslutades den 16</w:t>
      </w:r>
      <w:r w:rsidRPr="001851B6">
        <w:t xml:space="preserve"> ju</w:t>
      </w:r>
      <w:r w:rsidR="00A66CFE">
        <w:t>n</w:t>
      </w:r>
      <w:r w:rsidRPr="001851B6">
        <w:t>i</w:t>
      </w:r>
      <w:r w:rsidR="00A66CFE">
        <w:t xml:space="preserve"> 2010</w:t>
      </w:r>
      <w:r w:rsidRPr="001851B6">
        <w:t>.</w:t>
      </w:r>
    </w:p>
    <w:p w:rsidR="00DE641D" w:rsidRPr="001851B6" w:rsidRDefault="00DE641D" w:rsidP="00DE641D"/>
    <w:p w:rsidR="00DE641D" w:rsidRPr="001851B6" w:rsidRDefault="00DE641D" w:rsidP="00DE641D">
      <w:r w:rsidRPr="001851B6">
        <w:t>Aktuella adressuppgifter hämtades från Registret över totalbefolkningen.</w:t>
      </w:r>
    </w:p>
    <w:p w:rsidR="00DE641D" w:rsidRPr="001851B6" w:rsidRDefault="00DE641D" w:rsidP="00DE641D"/>
    <w:p w:rsidR="00DE641D" w:rsidRPr="001851B6" w:rsidRDefault="00DE641D" w:rsidP="00DE641D">
      <w:pPr>
        <w:tabs>
          <w:tab w:val="right" w:pos="2552"/>
          <w:tab w:val="right" w:pos="4395"/>
        </w:tabs>
        <w:rPr>
          <w:rFonts w:ascii="Bookman Old Style" w:hAnsi="Bookman Old Style"/>
          <w:b/>
          <w:sz w:val="20"/>
        </w:rPr>
      </w:pPr>
      <w:r w:rsidRPr="001851B6">
        <w:rPr>
          <w:rFonts w:ascii="Bookman Old Style" w:hAnsi="Bookman Old Style"/>
          <w:b/>
          <w:sz w:val="20"/>
        </w:rPr>
        <w:t xml:space="preserve">Tabell </w:t>
      </w:r>
      <w:r w:rsidR="008E766F">
        <w:rPr>
          <w:rFonts w:ascii="Bookman Old Style" w:hAnsi="Bookman Old Style"/>
          <w:b/>
          <w:sz w:val="20"/>
        </w:rPr>
        <w:t>1.</w:t>
      </w:r>
      <w:r w:rsidRPr="001851B6">
        <w:rPr>
          <w:rFonts w:ascii="Bookman Old Style" w:hAnsi="Bookman Old Style"/>
          <w:b/>
          <w:sz w:val="20"/>
        </w:rPr>
        <w:t xml:space="preserve"> Beskrivning av inflödet. Antal och andel.</w:t>
      </w:r>
    </w:p>
    <w:tbl>
      <w:tblPr>
        <w:tblW w:w="0" w:type="auto"/>
        <w:tblLayout w:type="fixed"/>
        <w:tblCellMar>
          <w:left w:w="70" w:type="dxa"/>
          <w:right w:w="70" w:type="dxa"/>
        </w:tblCellMar>
        <w:tblLook w:val="0000"/>
      </w:tblPr>
      <w:tblGrid>
        <w:gridCol w:w="2622"/>
        <w:gridCol w:w="1276"/>
        <w:gridCol w:w="992"/>
      </w:tblGrid>
      <w:tr w:rsidR="00DE641D" w:rsidRPr="001851B6" w:rsidTr="006C3658">
        <w:tc>
          <w:tcPr>
            <w:tcW w:w="2622" w:type="dxa"/>
            <w:tcBorders>
              <w:top w:val="single" w:sz="12" w:space="0" w:color="808080"/>
              <w:left w:val="nil"/>
              <w:bottom w:val="single" w:sz="6" w:space="0" w:color="808080"/>
              <w:right w:val="nil"/>
            </w:tcBorders>
          </w:tcPr>
          <w:p w:rsidR="00DE641D" w:rsidRPr="001851B6" w:rsidRDefault="00DE641D" w:rsidP="006C3658">
            <w:pPr>
              <w:rPr>
                <w:rFonts w:ascii="Bookman Old Style" w:hAnsi="Bookman Old Style"/>
                <w:sz w:val="20"/>
              </w:rPr>
            </w:pPr>
          </w:p>
        </w:tc>
        <w:tc>
          <w:tcPr>
            <w:tcW w:w="1276" w:type="dxa"/>
            <w:tcBorders>
              <w:top w:val="single" w:sz="12" w:space="0" w:color="808080"/>
              <w:left w:val="nil"/>
              <w:bottom w:val="single" w:sz="6" w:space="0" w:color="808080"/>
              <w:right w:val="nil"/>
            </w:tcBorders>
          </w:tcPr>
          <w:p w:rsidR="00DE641D" w:rsidRPr="001851B6" w:rsidRDefault="00DE641D" w:rsidP="008E766F">
            <w:pPr>
              <w:jc w:val="right"/>
              <w:rPr>
                <w:rFonts w:ascii="Bookman Old Style" w:hAnsi="Bookman Old Style"/>
                <w:b/>
                <w:sz w:val="20"/>
              </w:rPr>
            </w:pPr>
            <w:r w:rsidRPr="001851B6">
              <w:rPr>
                <w:rFonts w:ascii="Bookman Old Style" w:hAnsi="Bookman Old Style"/>
                <w:b/>
                <w:sz w:val="20"/>
              </w:rPr>
              <w:t>Antal</w:t>
            </w:r>
          </w:p>
        </w:tc>
        <w:tc>
          <w:tcPr>
            <w:tcW w:w="992" w:type="dxa"/>
            <w:tcBorders>
              <w:top w:val="single" w:sz="12" w:space="0" w:color="808080"/>
              <w:left w:val="nil"/>
              <w:bottom w:val="single" w:sz="6" w:space="0" w:color="808080"/>
              <w:right w:val="nil"/>
            </w:tcBorders>
          </w:tcPr>
          <w:p w:rsidR="00DE641D" w:rsidRPr="001851B6" w:rsidRDefault="00DE641D" w:rsidP="008E766F">
            <w:pPr>
              <w:pStyle w:val="Makrotext"/>
              <w:tabs>
                <w:tab w:val="clear" w:pos="480"/>
                <w:tab w:val="clear" w:pos="960"/>
                <w:tab w:val="clear" w:pos="1440"/>
                <w:tab w:val="clear" w:pos="1920"/>
                <w:tab w:val="clear" w:pos="2400"/>
                <w:tab w:val="clear" w:pos="2880"/>
                <w:tab w:val="clear" w:pos="3360"/>
                <w:tab w:val="clear" w:pos="3840"/>
                <w:tab w:val="clear" w:pos="4320"/>
              </w:tabs>
              <w:jc w:val="right"/>
              <w:rPr>
                <w:rFonts w:ascii="Bookman Old Style" w:hAnsi="Bookman Old Style"/>
                <w:b/>
              </w:rPr>
            </w:pPr>
            <w:r w:rsidRPr="001851B6">
              <w:rPr>
                <w:rFonts w:ascii="Bookman Old Style" w:hAnsi="Bookman Old Style"/>
                <w:b/>
              </w:rPr>
              <w:t>Procent</w:t>
            </w:r>
          </w:p>
        </w:tc>
      </w:tr>
      <w:tr w:rsidR="00DE641D" w:rsidRPr="001851B6" w:rsidTr="006C3658">
        <w:tc>
          <w:tcPr>
            <w:tcW w:w="2622" w:type="dxa"/>
            <w:tcBorders>
              <w:top w:val="nil"/>
              <w:left w:val="nil"/>
              <w:bottom w:val="nil"/>
              <w:right w:val="nil"/>
            </w:tcBorders>
          </w:tcPr>
          <w:p w:rsidR="00DE641D" w:rsidRPr="001851B6" w:rsidRDefault="008E766F" w:rsidP="008E766F">
            <w:pPr>
              <w:pStyle w:val="Makrotext"/>
              <w:tabs>
                <w:tab w:val="clear" w:pos="480"/>
                <w:tab w:val="clear" w:pos="960"/>
                <w:tab w:val="clear" w:pos="1440"/>
                <w:tab w:val="clear" w:pos="1920"/>
                <w:tab w:val="clear" w:pos="2400"/>
                <w:tab w:val="clear" w:pos="2880"/>
                <w:tab w:val="clear" w:pos="3360"/>
                <w:tab w:val="clear" w:pos="3840"/>
                <w:tab w:val="clear" w:pos="4320"/>
              </w:tabs>
              <w:rPr>
                <w:rFonts w:ascii="Bookman Old Style" w:hAnsi="Bookman Old Style"/>
              </w:rPr>
            </w:pPr>
            <w:r>
              <w:rPr>
                <w:rFonts w:ascii="Bookman Old Style" w:hAnsi="Bookman Old Style"/>
              </w:rPr>
              <w:t>Efter</w:t>
            </w:r>
            <w:r w:rsidR="00DE641D" w:rsidRPr="001851B6">
              <w:rPr>
                <w:rFonts w:ascii="Bookman Old Style" w:hAnsi="Bookman Old Style"/>
              </w:rPr>
              <w:t xml:space="preserve"> </w:t>
            </w:r>
            <w:r>
              <w:rPr>
                <w:rFonts w:ascii="Bookman Old Style" w:hAnsi="Bookman Old Style"/>
              </w:rPr>
              <w:t>första utskick</w:t>
            </w:r>
          </w:p>
        </w:tc>
        <w:tc>
          <w:tcPr>
            <w:tcW w:w="1276" w:type="dxa"/>
            <w:tcBorders>
              <w:top w:val="nil"/>
              <w:left w:val="nil"/>
              <w:bottom w:val="nil"/>
              <w:right w:val="nil"/>
            </w:tcBorders>
          </w:tcPr>
          <w:p w:rsidR="00DE641D" w:rsidRPr="001851B6" w:rsidRDefault="008E766F" w:rsidP="006C3658">
            <w:pPr>
              <w:jc w:val="right"/>
              <w:rPr>
                <w:rFonts w:ascii="Bookman Old Style" w:hAnsi="Bookman Old Style"/>
                <w:sz w:val="20"/>
              </w:rPr>
            </w:pPr>
            <w:r>
              <w:rPr>
                <w:rFonts w:ascii="Bookman Old Style" w:hAnsi="Bookman Old Style"/>
                <w:sz w:val="20"/>
              </w:rPr>
              <w:t>412</w:t>
            </w:r>
          </w:p>
        </w:tc>
        <w:tc>
          <w:tcPr>
            <w:tcW w:w="992" w:type="dxa"/>
            <w:tcBorders>
              <w:top w:val="nil"/>
              <w:left w:val="nil"/>
              <w:bottom w:val="nil"/>
              <w:right w:val="nil"/>
            </w:tcBorders>
          </w:tcPr>
          <w:p w:rsidR="00DE641D" w:rsidRPr="001851B6" w:rsidRDefault="008E766F" w:rsidP="006C3658">
            <w:pPr>
              <w:jc w:val="right"/>
              <w:rPr>
                <w:rFonts w:ascii="Bookman Old Style" w:hAnsi="Bookman Old Style"/>
                <w:sz w:val="20"/>
              </w:rPr>
            </w:pPr>
            <w:r>
              <w:rPr>
                <w:rFonts w:ascii="Bookman Old Style" w:hAnsi="Bookman Old Style"/>
                <w:sz w:val="20"/>
              </w:rPr>
              <w:t>21,3</w:t>
            </w:r>
          </w:p>
        </w:tc>
      </w:tr>
      <w:tr w:rsidR="00DE641D" w:rsidRPr="001851B6" w:rsidTr="006C3658">
        <w:tc>
          <w:tcPr>
            <w:tcW w:w="2622" w:type="dxa"/>
            <w:tcBorders>
              <w:top w:val="nil"/>
              <w:left w:val="nil"/>
              <w:bottom w:val="nil"/>
              <w:right w:val="nil"/>
            </w:tcBorders>
          </w:tcPr>
          <w:p w:rsidR="00DE641D" w:rsidRPr="001851B6" w:rsidRDefault="008E766F" w:rsidP="008E766F">
            <w:pPr>
              <w:pStyle w:val="Makrotext"/>
              <w:tabs>
                <w:tab w:val="clear" w:pos="480"/>
                <w:tab w:val="clear" w:pos="960"/>
                <w:tab w:val="clear" w:pos="1440"/>
                <w:tab w:val="clear" w:pos="1920"/>
                <w:tab w:val="clear" w:pos="2400"/>
                <w:tab w:val="clear" w:pos="2880"/>
                <w:tab w:val="clear" w:pos="3360"/>
                <w:tab w:val="clear" w:pos="3840"/>
                <w:tab w:val="clear" w:pos="4320"/>
              </w:tabs>
              <w:rPr>
                <w:rFonts w:ascii="Bookman Old Style" w:hAnsi="Bookman Old Style"/>
              </w:rPr>
            </w:pPr>
            <w:r>
              <w:rPr>
                <w:rFonts w:ascii="Bookman Old Style" w:hAnsi="Bookman Old Style"/>
              </w:rPr>
              <w:t>Efter</w:t>
            </w:r>
            <w:r w:rsidR="00DE641D" w:rsidRPr="001851B6">
              <w:rPr>
                <w:rFonts w:ascii="Bookman Old Style" w:hAnsi="Bookman Old Style"/>
              </w:rPr>
              <w:t xml:space="preserve"> enkätpåminnelse </w:t>
            </w:r>
            <w:r>
              <w:rPr>
                <w:rFonts w:ascii="Bookman Old Style" w:hAnsi="Bookman Old Style"/>
              </w:rPr>
              <w:t>1</w:t>
            </w:r>
          </w:p>
        </w:tc>
        <w:tc>
          <w:tcPr>
            <w:tcW w:w="1276" w:type="dxa"/>
            <w:tcBorders>
              <w:top w:val="nil"/>
              <w:left w:val="nil"/>
              <w:bottom w:val="nil"/>
              <w:right w:val="nil"/>
            </w:tcBorders>
          </w:tcPr>
          <w:p w:rsidR="00DE641D" w:rsidRPr="001851B6" w:rsidRDefault="008E766F" w:rsidP="006C3658">
            <w:pPr>
              <w:jc w:val="right"/>
              <w:rPr>
                <w:rFonts w:ascii="Bookman Old Style" w:hAnsi="Bookman Old Style"/>
                <w:sz w:val="20"/>
              </w:rPr>
            </w:pPr>
            <w:r>
              <w:rPr>
                <w:rFonts w:ascii="Bookman Old Style" w:hAnsi="Bookman Old Style"/>
                <w:sz w:val="20"/>
              </w:rPr>
              <w:t>313</w:t>
            </w:r>
          </w:p>
        </w:tc>
        <w:tc>
          <w:tcPr>
            <w:tcW w:w="992" w:type="dxa"/>
            <w:tcBorders>
              <w:top w:val="nil"/>
              <w:left w:val="nil"/>
              <w:bottom w:val="nil"/>
              <w:right w:val="nil"/>
            </w:tcBorders>
          </w:tcPr>
          <w:p w:rsidR="00DE641D" w:rsidRPr="001851B6" w:rsidRDefault="008E766F" w:rsidP="006C3658">
            <w:pPr>
              <w:jc w:val="right"/>
              <w:rPr>
                <w:rFonts w:ascii="Bookman Old Style" w:hAnsi="Bookman Old Style"/>
                <w:sz w:val="20"/>
              </w:rPr>
            </w:pPr>
            <w:r>
              <w:rPr>
                <w:rFonts w:ascii="Bookman Old Style" w:hAnsi="Bookman Old Style"/>
                <w:sz w:val="20"/>
              </w:rPr>
              <w:t>16,2</w:t>
            </w:r>
          </w:p>
        </w:tc>
      </w:tr>
      <w:tr w:rsidR="00DE641D" w:rsidRPr="001851B6" w:rsidTr="006C3658">
        <w:tc>
          <w:tcPr>
            <w:tcW w:w="2622" w:type="dxa"/>
            <w:tcBorders>
              <w:top w:val="nil"/>
              <w:left w:val="nil"/>
              <w:bottom w:val="nil"/>
              <w:right w:val="nil"/>
            </w:tcBorders>
          </w:tcPr>
          <w:p w:rsidR="00DE641D" w:rsidRPr="001851B6" w:rsidRDefault="008E766F" w:rsidP="006C3658">
            <w:pPr>
              <w:pStyle w:val="Makrotext"/>
              <w:tabs>
                <w:tab w:val="clear" w:pos="480"/>
                <w:tab w:val="clear" w:pos="960"/>
                <w:tab w:val="clear" w:pos="1440"/>
                <w:tab w:val="clear" w:pos="1920"/>
                <w:tab w:val="clear" w:pos="2400"/>
                <w:tab w:val="clear" w:pos="2880"/>
                <w:tab w:val="clear" w:pos="3360"/>
                <w:tab w:val="clear" w:pos="3840"/>
                <w:tab w:val="clear" w:pos="4320"/>
              </w:tabs>
              <w:rPr>
                <w:rFonts w:ascii="Bookman Old Style" w:hAnsi="Bookman Old Style"/>
              </w:rPr>
            </w:pPr>
            <w:r>
              <w:rPr>
                <w:rFonts w:ascii="Bookman Old Style" w:hAnsi="Bookman Old Style"/>
              </w:rPr>
              <w:t>Efter enkätpåminnelse 2</w:t>
            </w:r>
          </w:p>
        </w:tc>
        <w:tc>
          <w:tcPr>
            <w:tcW w:w="1276" w:type="dxa"/>
            <w:tcBorders>
              <w:top w:val="nil"/>
              <w:left w:val="nil"/>
              <w:bottom w:val="nil"/>
              <w:right w:val="nil"/>
            </w:tcBorders>
          </w:tcPr>
          <w:p w:rsidR="00DE641D" w:rsidRPr="001851B6" w:rsidRDefault="008E766F" w:rsidP="006C3658">
            <w:pPr>
              <w:jc w:val="right"/>
              <w:rPr>
                <w:rFonts w:ascii="Bookman Old Style" w:hAnsi="Bookman Old Style"/>
                <w:sz w:val="20"/>
              </w:rPr>
            </w:pPr>
            <w:r>
              <w:rPr>
                <w:rFonts w:ascii="Bookman Old Style" w:hAnsi="Bookman Old Style"/>
                <w:sz w:val="20"/>
              </w:rPr>
              <w:t>165</w:t>
            </w:r>
          </w:p>
        </w:tc>
        <w:tc>
          <w:tcPr>
            <w:tcW w:w="992" w:type="dxa"/>
            <w:tcBorders>
              <w:top w:val="nil"/>
              <w:left w:val="nil"/>
              <w:bottom w:val="nil"/>
              <w:right w:val="nil"/>
            </w:tcBorders>
          </w:tcPr>
          <w:p w:rsidR="00DE641D" w:rsidRPr="001851B6" w:rsidRDefault="008E766F" w:rsidP="006C3658">
            <w:pPr>
              <w:jc w:val="right"/>
              <w:rPr>
                <w:rFonts w:ascii="Bookman Old Style" w:hAnsi="Bookman Old Style"/>
                <w:sz w:val="20"/>
              </w:rPr>
            </w:pPr>
            <w:r>
              <w:rPr>
                <w:rFonts w:ascii="Bookman Old Style" w:hAnsi="Bookman Old Style"/>
                <w:sz w:val="20"/>
              </w:rPr>
              <w:t>8,5</w:t>
            </w:r>
          </w:p>
        </w:tc>
      </w:tr>
      <w:tr w:rsidR="008E766F" w:rsidRPr="001851B6" w:rsidTr="006C3658">
        <w:tc>
          <w:tcPr>
            <w:tcW w:w="2622" w:type="dxa"/>
            <w:tcBorders>
              <w:top w:val="nil"/>
              <w:left w:val="nil"/>
              <w:bottom w:val="nil"/>
              <w:right w:val="nil"/>
            </w:tcBorders>
          </w:tcPr>
          <w:p w:rsidR="008E766F" w:rsidRDefault="008E766F" w:rsidP="006C3658">
            <w:pPr>
              <w:pStyle w:val="Makrotext"/>
              <w:tabs>
                <w:tab w:val="clear" w:pos="480"/>
                <w:tab w:val="clear" w:pos="960"/>
                <w:tab w:val="clear" w:pos="1440"/>
                <w:tab w:val="clear" w:pos="1920"/>
                <w:tab w:val="clear" w:pos="2400"/>
                <w:tab w:val="clear" w:pos="2880"/>
                <w:tab w:val="clear" w:pos="3360"/>
                <w:tab w:val="clear" w:pos="3840"/>
                <w:tab w:val="clear" w:pos="4320"/>
              </w:tabs>
              <w:rPr>
                <w:rFonts w:ascii="Bookman Old Style" w:hAnsi="Bookman Old Style"/>
              </w:rPr>
            </w:pPr>
            <w:r>
              <w:rPr>
                <w:rFonts w:ascii="Bookman Old Style" w:hAnsi="Bookman Old Style"/>
              </w:rPr>
              <w:t>Efter enkätpåminnelse 3</w:t>
            </w:r>
          </w:p>
        </w:tc>
        <w:tc>
          <w:tcPr>
            <w:tcW w:w="1276" w:type="dxa"/>
            <w:tcBorders>
              <w:top w:val="nil"/>
              <w:left w:val="nil"/>
              <w:bottom w:val="nil"/>
              <w:right w:val="nil"/>
            </w:tcBorders>
          </w:tcPr>
          <w:p w:rsidR="008E766F" w:rsidRDefault="008E766F" w:rsidP="006C3658">
            <w:pPr>
              <w:jc w:val="right"/>
              <w:rPr>
                <w:rFonts w:ascii="Bookman Old Style" w:hAnsi="Bookman Old Style"/>
                <w:sz w:val="20"/>
              </w:rPr>
            </w:pPr>
            <w:r>
              <w:rPr>
                <w:rFonts w:ascii="Bookman Old Style" w:hAnsi="Bookman Old Style"/>
                <w:sz w:val="20"/>
              </w:rPr>
              <w:t>119</w:t>
            </w:r>
          </w:p>
        </w:tc>
        <w:tc>
          <w:tcPr>
            <w:tcW w:w="992" w:type="dxa"/>
            <w:tcBorders>
              <w:top w:val="nil"/>
              <w:left w:val="nil"/>
              <w:bottom w:val="nil"/>
              <w:right w:val="nil"/>
            </w:tcBorders>
          </w:tcPr>
          <w:p w:rsidR="008E766F" w:rsidRDefault="008E766F" w:rsidP="006C3658">
            <w:pPr>
              <w:jc w:val="right"/>
              <w:rPr>
                <w:rFonts w:ascii="Bookman Old Style" w:hAnsi="Bookman Old Style"/>
                <w:sz w:val="20"/>
              </w:rPr>
            </w:pPr>
            <w:r>
              <w:rPr>
                <w:rFonts w:ascii="Bookman Old Style" w:hAnsi="Bookman Old Style"/>
                <w:sz w:val="20"/>
              </w:rPr>
              <w:t>6,1</w:t>
            </w:r>
          </w:p>
        </w:tc>
      </w:tr>
      <w:tr w:rsidR="00DE641D" w:rsidRPr="001851B6" w:rsidTr="006C3658">
        <w:tc>
          <w:tcPr>
            <w:tcW w:w="2622" w:type="dxa"/>
            <w:tcBorders>
              <w:top w:val="nil"/>
              <w:left w:val="nil"/>
              <w:bottom w:val="nil"/>
              <w:right w:val="nil"/>
            </w:tcBorders>
          </w:tcPr>
          <w:p w:rsidR="00DE641D" w:rsidRPr="001851B6" w:rsidRDefault="00DE641D" w:rsidP="0073747F">
            <w:pPr>
              <w:rPr>
                <w:rFonts w:ascii="Bookman Old Style" w:hAnsi="Bookman Old Style"/>
                <w:sz w:val="20"/>
              </w:rPr>
            </w:pPr>
            <w:r w:rsidRPr="001851B6">
              <w:rPr>
                <w:rFonts w:ascii="Bookman Old Style" w:hAnsi="Bookman Old Style"/>
                <w:sz w:val="20"/>
              </w:rPr>
              <w:t>Totalt svar</w:t>
            </w:r>
          </w:p>
        </w:tc>
        <w:tc>
          <w:tcPr>
            <w:tcW w:w="1276" w:type="dxa"/>
            <w:tcBorders>
              <w:top w:val="nil"/>
              <w:left w:val="nil"/>
              <w:bottom w:val="nil"/>
              <w:right w:val="nil"/>
            </w:tcBorders>
          </w:tcPr>
          <w:p w:rsidR="00DE641D" w:rsidRPr="001851B6" w:rsidRDefault="008E766F" w:rsidP="006C3658">
            <w:pPr>
              <w:jc w:val="right"/>
              <w:rPr>
                <w:rFonts w:ascii="Bookman Old Style" w:hAnsi="Bookman Old Style"/>
                <w:sz w:val="20"/>
              </w:rPr>
            </w:pPr>
            <w:r>
              <w:rPr>
                <w:rFonts w:ascii="Bookman Old Style" w:hAnsi="Bookman Old Style"/>
                <w:sz w:val="20"/>
              </w:rPr>
              <w:t>1 009</w:t>
            </w:r>
          </w:p>
        </w:tc>
        <w:tc>
          <w:tcPr>
            <w:tcW w:w="992" w:type="dxa"/>
            <w:tcBorders>
              <w:top w:val="nil"/>
              <w:left w:val="nil"/>
              <w:bottom w:val="nil"/>
              <w:right w:val="nil"/>
            </w:tcBorders>
          </w:tcPr>
          <w:p w:rsidR="00DE641D" w:rsidRPr="001851B6" w:rsidRDefault="008E766F" w:rsidP="006C3658">
            <w:pPr>
              <w:jc w:val="right"/>
              <w:rPr>
                <w:rFonts w:ascii="Bookman Old Style" w:hAnsi="Bookman Old Style"/>
                <w:sz w:val="20"/>
              </w:rPr>
            </w:pPr>
            <w:r>
              <w:rPr>
                <w:rFonts w:ascii="Bookman Old Style" w:hAnsi="Bookman Old Style"/>
                <w:sz w:val="20"/>
              </w:rPr>
              <w:t>52,1</w:t>
            </w:r>
          </w:p>
        </w:tc>
      </w:tr>
      <w:tr w:rsidR="00DE641D" w:rsidRPr="001851B6" w:rsidTr="006C3658">
        <w:trPr>
          <w:trHeight w:hRule="exact" w:val="113"/>
        </w:trPr>
        <w:tc>
          <w:tcPr>
            <w:tcW w:w="2622" w:type="dxa"/>
            <w:tcBorders>
              <w:top w:val="nil"/>
              <w:left w:val="nil"/>
              <w:bottom w:val="nil"/>
              <w:right w:val="nil"/>
            </w:tcBorders>
          </w:tcPr>
          <w:p w:rsidR="00DE641D" w:rsidRPr="001851B6" w:rsidRDefault="00DE641D" w:rsidP="006C3658">
            <w:pPr>
              <w:rPr>
                <w:rFonts w:ascii="Bookman Old Style" w:hAnsi="Bookman Old Style"/>
                <w:sz w:val="20"/>
              </w:rPr>
            </w:pPr>
          </w:p>
        </w:tc>
        <w:tc>
          <w:tcPr>
            <w:tcW w:w="1276" w:type="dxa"/>
            <w:tcBorders>
              <w:top w:val="nil"/>
              <w:left w:val="nil"/>
              <w:bottom w:val="nil"/>
              <w:right w:val="nil"/>
            </w:tcBorders>
          </w:tcPr>
          <w:p w:rsidR="00DE641D" w:rsidRPr="001851B6" w:rsidRDefault="00DE641D" w:rsidP="006C3658">
            <w:pPr>
              <w:jc w:val="right"/>
              <w:rPr>
                <w:rFonts w:ascii="Bookman Old Style" w:hAnsi="Bookman Old Style"/>
                <w:sz w:val="20"/>
              </w:rPr>
            </w:pPr>
          </w:p>
        </w:tc>
        <w:tc>
          <w:tcPr>
            <w:tcW w:w="992" w:type="dxa"/>
            <w:tcBorders>
              <w:top w:val="nil"/>
              <w:left w:val="nil"/>
              <w:bottom w:val="nil"/>
              <w:right w:val="nil"/>
            </w:tcBorders>
          </w:tcPr>
          <w:p w:rsidR="00DE641D" w:rsidRPr="001851B6" w:rsidRDefault="00DE641D" w:rsidP="006C3658">
            <w:pPr>
              <w:jc w:val="right"/>
              <w:rPr>
                <w:rFonts w:ascii="Bookman Old Style" w:hAnsi="Bookman Old Style"/>
                <w:sz w:val="20"/>
              </w:rPr>
            </w:pPr>
          </w:p>
        </w:tc>
      </w:tr>
      <w:tr w:rsidR="00DE641D" w:rsidRPr="001851B6" w:rsidTr="006C3658">
        <w:tc>
          <w:tcPr>
            <w:tcW w:w="2622" w:type="dxa"/>
            <w:tcBorders>
              <w:top w:val="nil"/>
              <w:left w:val="nil"/>
              <w:bottom w:val="nil"/>
              <w:right w:val="nil"/>
            </w:tcBorders>
          </w:tcPr>
          <w:p w:rsidR="00DE641D" w:rsidRPr="001851B6" w:rsidRDefault="00DE641D" w:rsidP="006C3658">
            <w:pPr>
              <w:rPr>
                <w:rFonts w:ascii="Bookman Old Style" w:hAnsi="Bookman Old Style"/>
                <w:sz w:val="20"/>
              </w:rPr>
            </w:pPr>
            <w:r w:rsidRPr="001851B6">
              <w:rPr>
                <w:rFonts w:ascii="Bookman Old Style" w:hAnsi="Bookman Old Style"/>
                <w:sz w:val="20"/>
              </w:rPr>
              <w:t>Bortfall</w:t>
            </w:r>
          </w:p>
        </w:tc>
        <w:tc>
          <w:tcPr>
            <w:tcW w:w="1276" w:type="dxa"/>
            <w:tcBorders>
              <w:top w:val="nil"/>
              <w:left w:val="nil"/>
              <w:bottom w:val="nil"/>
              <w:right w:val="nil"/>
            </w:tcBorders>
          </w:tcPr>
          <w:p w:rsidR="00DE641D" w:rsidRPr="001851B6" w:rsidRDefault="008E766F" w:rsidP="006C3658">
            <w:pPr>
              <w:jc w:val="right"/>
              <w:rPr>
                <w:rFonts w:ascii="Bookman Old Style" w:hAnsi="Bookman Old Style"/>
                <w:sz w:val="20"/>
              </w:rPr>
            </w:pPr>
            <w:r>
              <w:rPr>
                <w:rFonts w:ascii="Bookman Old Style" w:hAnsi="Bookman Old Style"/>
                <w:sz w:val="20"/>
              </w:rPr>
              <w:t>928</w:t>
            </w:r>
          </w:p>
        </w:tc>
        <w:tc>
          <w:tcPr>
            <w:tcW w:w="992" w:type="dxa"/>
            <w:tcBorders>
              <w:top w:val="nil"/>
              <w:left w:val="nil"/>
              <w:bottom w:val="nil"/>
              <w:right w:val="nil"/>
            </w:tcBorders>
          </w:tcPr>
          <w:p w:rsidR="00DE641D" w:rsidRPr="001851B6" w:rsidRDefault="008E766F" w:rsidP="006C3658">
            <w:pPr>
              <w:jc w:val="right"/>
              <w:rPr>
                <w:rFonts w:ascii="Bookman Old Style" w:hAnsi="Bookman Old Style"/>
                <w:sz w:val="20"/>
              </w:rPr>
            </w:pPr>
            <w:r>
              <w:rPr>
                <w:rFonts w:ascii="Bookman Old Style" w:hAnsi="Bookman Old Style"/>
                <w:sz w:val="20"/>
              </w:rPr>
              <w:t>47,9</w:t>
            </w:r>
          </w:p>
        </w:tc>
      </w:tr>
      <w:tr w:rsidR="00DE641D" w:rsidRPr="001851B6" w:rsidTr="008E766F">
        <w:trPr>
          <w:trHeight w:hRule="exact" w:val="113"/>
        </w:trPr>
        <w:tc>
          <w:tcPr>
            <w:tcW w:w="2622" w:type="dxa"/>
            <w:tcBorders>
              <w:top w:val="nil"/>
              <w:left w:val="nil"/>
              <w:bottom w:val="single" w:sz="6" w:space="0" w:color="auto"/>
              <w:right w:val="nil"/>
            </w:tcBorders>
          </w:tcPr>
          <w:p w:rsidR="00DE641D" w:rsidRPr="001851B6" w:rsidRDefault="00DE641D" w:rsidP="006C3658">
            <w:pPr>
              <w:rPr>
                <w:rFonts w:ascii="Bookman Old Style" w:hAnsi="Bookman Old Style"/>
                <w:sz w:val="20"/>
              </w:rPr>
            </w:pPr>
          </w:p>
        </w:tc>
        <w:tc>
          <w:tcPr>
            <w:tcW w:w="1276" w:type="dxa"/>
            <w:tcBorders>
              <w:top w:val="nil"/>
              <w:left w:val="nil"/>
              <w:bottom w:val="single" w:sz="6" w:space="0" w:color="auto"/>
              <w:right w:val="nil"/>
            </w:tcBorders>
          </w:tcPr>
          <w:p w:rsidR="00DE641D" w:rsidRPr="001851B6" w:rsidRDefault="00DE641D" w:rsidP="006C3658">
            <w:pPr>
              <w:jc w:val="right"/>
              <w:rPr>
                <w:rFonts w:ascii="Bookman Old Style" w:hAnsi="Bookman Old Style"/>
                <w:sz w:val="20"/>
              </w:rPr>
            </w:pPr>
          </w:p>
        </w:tc>
        <w:tc>
          <w:tcPr>
            <w:tcW w:w="992" w:type="dxa"/>
            <w:tcBorders>
              <w:top w:val="nil"/>
              <w:left w:val="nil"/>
              <w:bottom w:val="single" w:sz="6" w:space="0" w:color="auto"/>
              <w:right w:val="nil"/>
            </w:tcBorders>
          </w:tcPr>
          <w:p w:rsidR="00DE641D" w:rsidRPr="001851B6" w:rsidRDefault="00DE641D" w:rsidP="006C3658">
            <w:pPr>
              <w:jc w:val="right"/>
              <w:rPr>
                <w:rFonts w:ascii="Bookman Old Style" w:hAnsi="Bookman Old Style"/>
                <w:sz w:val="20"/>
              </w:rPr>
            </w:pPr>
          </w:p>
        </w:tc>
      </w:tr>
      <w:tr w:rsidR="00DE641D" w:rsidRPr="001851B6" w:rsidTr="008E766F">
        <w:tc>
          <w:tcPr>
            <w:tcW w:w="2622" w:type="dxa"/>
            <w:tcBorders>
              <w:top w:val="single" w:sz="6" w:space="0" w:color="auto"/>
              <w:left w:val="nil"/>
              <w:bottom w:val="single" w:sz="6" w:space="0" w:color="auto"/>
              <w:right w:val="nil"/>
            </w:tcBorders>
          </w:tcPr>
          <w:p w:rsidR="00DE641D" w:rsidRPr="001851B6" w:rsidRDefault="00DE641D" w:rsidP="006C3658">
            <w:pPr>
              <w:rPr>
                <w:rFonts w:ascii="Bookman Old Style" w:hAnsi="Bookman Old Style"/>
                <w:sz w:val="20"/>
              </w:rPr>
            </w:pPr>
            <w:r w:rsidRPr="001851B6">
              <w:rPr>
                <w:rFonts w:ascii="Bookman Old Style" w:hAnsi="Bookman Old Style"/>
                <w:sz w:val="20"/>
              </w:rPr>
              <w:t>Urval</w:t>
            </w:r>
          </w:p>
        </w:tc>
        <w:tc>
          <w:tcPr>
            <w:tcW w:w="1276" w:type="dxa"/>
            <w:tcBorders>
              <w:top w:val="single" w:sz="6" w:space="0" w:color="auto"/>
              <w:left w:val="nil"/>
              <w:bottom w:val="single" w:sz="6" w:space="0" w:color="auto"/>
              <w:right w:val="nil"/>
            </w:tcBorders>
          </w:tcPr>
          <w:p w:rsidR="00DE641D" w:rsidRPr="001851B6" w:rsidRDefault="008E766F" w:rsidP="006C3658">
            <w:pPr>
              <w:jc w:val="right"/>
              <w:rPr>
                <w:rFonts w:ascii="Bookman Old Style" w:hAnsi="Bookman Old Style"/>
                <w:sz w:val="20"/>
              </w:rPr>
            </w:pPr>
            <w:r>
              <w:rPr>
                <w:rFonts w:ascii="Bookman Old Style" w:hAnsi="Bookman Old Style"/>
                <w:sz w:val="20"/>
              </w:rPr>
              <w:t>1 937</w:t>
            </w:r>
          </w:p>
        </w:tc>
        <w:tc>
          <w:tcPr>
            <w:tcW w:w="992" w:type="dxa"/>
            <w:tcBorders>
              <w:top w:val="single" w:sz="6" w:space="0" w:color="auto"/>
              <w:left w:val="nil"/>
              <w:bottom w:val="single" w:sz="6" w:space="0" w:color="auto"/>
              <w:right w:val="nil"/>
            </w:tcBorders>
          </w:tcPr>
          <w:p w:rsidR="00DE641D" w:rsidRPr="001851B6" w:rsidRDefault="00DE641D" w:rsidP="006C3658">
            <w:pPr>
              <w:jc w:val="right"/>
              <w:rPr>
                <w:rFonts w:ascii="Bookman Old Style" w:hAnsi="Bookman Old Style"/>
                <w:sz w:val="20"/>
              </w:rPr>
            </w:pPr>
            <w:r w:rsidRPr="001851B6">
              <w:rPr>
                <w:rFonts w:ascii="Bookman Old Style" w:hAnsi="Bookman Old Style"/>
                <w:sz w:val="20"/>
              </w:rPr>
              <w:t>100,0</w:t>
            </w:r>
          </w:p>
        </w:tc>
      </w:tr>
    </w:tbl>
    <w:p w:rsidR="00DE641D" w:rsidRPr="00F05A6F" w:rsidRDefault="00DE641D" w:rsidP="00DE641D">
      <w:pPr>
        <w:pStyle w:val="Brdtext22"/>
        <w:rPr>
          <w:color w:val="auto"/>
        </w:rPr>
      </w:pPr>
    </w:p>
    <w:p w:rsidR="00DE641D" w:rsidRPr="00F05A6F" w:rsidRDefault="00DE641D" w:rsidP="00DE641D">
      <w:r w:rsidRPr="00F05A6F">
        <w:t>I 2004 och 2006 års undersökningar skickades två påminnelser. I båda dessa undersökningar blev svarsfrekvensen 56 procent.</w:t>
      </w:r>
      <w:r w:rsidR="008E766F">
        <w:t xml:space="preserve"> I 2008 års undersökning (tre påminnelser) blev svarsfrekvensen 57 procent.</w:t>
      </w:r>
    </w:p>
    <w:p w:rsidR="00DE641D" w:rsidRPr="004F31A2" w:rsidRDefault="00DE641D" w:rsidP="00DE641D"/>
    <w:p w:rsidR="00DE641D" w:rsidRPr="004F31A2" w:rsidRDefault="00DE641D" w:rsidP="00DE641D">
      <w:pPr>
        <w:pStyle w:val="Rubrik2"/>
      </w:pPr>
      <w:r w:rsidRPr="004F31A2">
        <w:t>Bortfall</w:t>
      </w:r>
    </w:p>
    <w:p w:rsidR="00DE641D" w:rsidRPr="004F31A2" w:rsidRDefault="00DE641D" w:rsidP="00DE641D">
      <w:pPr>
        <w:pStyle w:val="Brdtext"/>
        <w:rPr>
          <w:color w:val="auto"/>
        </w:rPr>
      </w:pPr>
      <w:r w:rsidRPr="004F31A2">
        <w:rPr>
          <w:color w:val="auto"/>
        </w:rPr>
        <w:t>Bortfallet består dels av objektsbortfall, som innebär att frågeblanketten inte är besvarad alls, och av partiellt bortfall (uppgift saknas) som innebär att vissa frågor i blanketten inte är besvarade. Om bortfallet skiljer sig från de svarande, med avseende på undersökningsvariablerna, så kan skattningarna som grundar sig på enbart de svarande vara skeva. För att reducera bortfalls</w:t>
      </w:r>
      <w:r w:rsidRPr="004F31A2">
        <w:rPr>
          <w:color w:val="auto"/>
        </w:rPr>
        <w:softHyphen/>
        <w:t>skevheten har vikter beräknats med hjälp av kalibrering (se bilaga).</w:t>
      </w:r>
    </w:p>
    <w:p w:rsidR="00DE641D" w:rsidRPr="004F31A2" w:rsidRDefault="00DE641D" w:rsidP="00DE641D">
      <w:pPr>
        <w:pStyle w:val="Brdtext"/>
        <w:rPr>
          <w:color w:val="auto"/>
        </w:rPr>
      </w:pPr>
    </w:p>
    <w:p w:rsidR="00DE641D" w:rsidRDefault="00DE641D" w:rsidP="00DE641D">
      <w:pPr>
        <w:pStyle w:val="Brdtext"/>
        <w:rPr>
          <w:color w:val="auto"/>
        </w:rPr>
      </w:pPr>
      <w:r w:rsidRPr="008E6C4B">
        <w:rPr>
          <w:color w:val="auto"/>
        </w:rPr>
        <w:t>Objektsbortfallet i denna u</w:t>
      </w:r>
      <w:r w:rsidR="009936DF">
        <w:rPr>
          <w:color w:val="auto"/>
        </w:rPr>
        <w:t>ndersökning redovisas i tabell 2</w:t>
      </w:r>
      <w:r w:rsidRPr="008E6C4B">
        <w:rPr>
          <w:color w:val="auto"/>
        </w:rPr>
        <w:t xml:space="preserve"> nedan. Med ”ej avhörda” menas att ingen uppgift har lämnats om varför frågeblanketten inte är besvarad. Med ”avböjd medverkan” menas att SCB meddelats att uppgiftslämnaren inte vill medverka i undersökningen.</w:t>
      </w:r>
    </w:p>
    <w:p w:rsidR="00DE641D" w:rsidRDefault="00DE641D" w:rsidP="00DE641D">
      <w:pPr>
        <w:pStyle w:val="Brdtext"/>
        <w:rPr>
          <w:color w:val="auto"/>
        </w:rPr>
      </w:pPr>
    </w:p>
    <w:p w:rsidR="009936DF" w:rsidRPr="00034098" w:rsidRDefault="009936DF" w:rsidP="00DE641D">
      <w:pPr>
        <w:pStyle w:val="Brdtext"/>
        <w:rPr>
          <w:color w:val="auto"/>
        </w:rPr>
      </w:pPr>
    </w:p>
    <w:p w:rsidR="00DE641D" w:rsidRPr="00034098" w:rsidRDefault="00DE641D" w:rsidP="00DE641D">
      <w:pPr>
        <w:tabs>
          <w:tab w:val="right" w:pos="2552"/>
          <w:tab w:val="right" w:pos="4395"/>
        </w:tabs>
        <w:rPr>
          <w:rFonts w:ascii="Bookman Old Style" w:hAnsi="Bookman Old Style"/>
          <w:b/>
          <w:sz w:val="20"/>
        </w:rPr>
      </w:pPr>
      <w:r w:rsidRPr="00034098">
        <w:rPr>
          <w:rFonts w:ascii="Bookman Old Style" w:hAnsi="Bookman Old Style"/>
          <w:b/>
          <w:sz w:val="20"/>
        </w:rPr>
        <w:lastRenderedPageBreak/>
        <w:t xml:space="preserve">Tabell </w:t>
      </w:r>
      <w:r w:rsidR="009936DF">
        <w:rPr>
          <w:rFonts w:ascii="Bookman Old Style" w:hAnsi="Bookman Old Style"/>
          <w:b/>
          <w:sz w:val="20"/>
        </w:rPr>
        <w:t>2.</w:t>
      </w:r>
      <w:r w:rsidRPr="00034098">
        <w:rPr>
          <w:rFonts w:ascii="Bookman Old Style" w:hAnsi="Bookman Old Style"/>
          <w:b/>
          <w:sz w:val="20"/>
        </w:rPr>
        <w:t xml:space="preserve"> Beskrivning av objektsbortfall</w:t>
      </w:r>
    </w:p>
    <w:tbl>
      <w:tblPr>
        <w:tblW w:w="0" w:type="auto"/>
        <w:tblLayout w:type="fixed"/>
        <w:tblCellMar>
          <w:left w:w="70" w:type="dxa"/>
          <w:right w:w="70" w:type="dxa"/>
        </w:tblCellMar>
        <w:tblLook w:val="0000"/>
      </w:tblPr>
      <w:tblGrid>
        <w:gridCol w:w="2622"/>
        <w:gridCol w:w="1276"/>
      </w:tblGrid>
      <w:tr w:rsidR="00DE641D" w:rsidRPr="00034098" w:rsidTr="006C3658">
        <w:tc>
          <w:tcPr>
            <w:tcW w:w="2622" w:type="dxa"/>
            <w:tcBorders>
              <w:top w:val="single" w:sz="12" w:space="0" w:color="808080"/>
              <w:left w:val="nil"/>
              <w:bottom w:val="single" w:sz="6" w:space="0" w:color="808080"/>
              <w:right w:val="nil"/>
            </w:tcBorders>
          </w:tcPr>
          <w:p w:rsidR="00DE641D" w:rsidRPr="00034098" w:rsidRDefault="00DE641D" w:rsidP="006C3658">
            <w:pPr>
              <w:rPr>
                <w:rFonts w:ascii="Bookman Old Style" w:hAnsi="Bookman Old Style"/>
                <w:sz w:val="20"/>
              </w:rPr>
            </w:pPr>
          </w:p>
        </w:tc>
        <w:tc>
          <w:tcPr>
            <w:tcW w:w="1276" w:type="dxa"/>
            <w:tcBorders>
              <w:top w:val="single" w:sz="12" w:space="0" w:color="808080"/>
              <w:left w:val="nil"/>
              <w:bottom w:val="single" w:sz="6" w:space="0" w:color="808080"/>
              <w:right w:val="nil"/>
            </w:tcBorders>
          </w:tcPr>
          <w:p w:rsidR="00DE641D" w:rsidRPr="00034098" w:rsidRDefault="00DE641D" w:rsidP="006C3658">
            <w:pPr>
              <w:jc w:val="right"/>
              <w:rPr>
                <w:rFonts w:ascii="Bookman Old Style" w:hAnsi="Bookman Old Style"/>
                <w:sz w:val="20"/>
              </w:rPr>
            </w:pPr>
            <w:r w:rsidRPr="00034098">
              <w:rPr>
                <w:rFonts w:ascii="Bookman Old Style" w:hAnsi="Bookman Old Style"/>
                <w:sz w:val="20"/>
              </w:rPr>
              <w:t>Antal</w:t>
            </w:r>
          </w:p>
        </w:tc>
      </w:tr>
      <w:tr w:rsidR="00DE641D" w:rsidRPr="00034098" w:rsidTr="006C3658">
        <w:tc>
          <w:tcPr>
            <w:tcW w:w="2622" w:type="dxa"/>
            <w:tcBorders>
              <w:top w:val="nil"/>
              <w:left w:val="nil"/>
              <w:bottom w:val="nil"/>
              <w:right w:val="nil"/>
            </w:tcBorders>
          </w:tcPr>
          <w:p w:rsidR="00DE641D" w:rsidRPr="00034098" w:rsidRDefault="00DE641D" w:rsidP="006C3658">
            <w:pPr>
              <w:rPr>
                <w:rFonts w:ascii="Bookman Old Style" w:hAnsi="Bookman Old Style"/>
                <w:sz w:val="20"/>
              </w:rPr>
            </w:pPr>
            <w:r w:rsidRPr="00034098">
              <w:rPr>
                <w:rFonts w:ascii="Bookman Old Style" w:hAnsi="Bookman Old Style"/>
                <w:sz w:val="20"/>
              </w:rPr>
              <w:t>Ej avhörda</w:t>
            </w:r>
          </w:p>
        </w:tc>
        <w:tc>
          <w:tcPr>
            <w:tcW w:w="1276" w:type="dxa"/>
            <w:tcBorders>
              <w:top w:val="nil"/>
              <w:left w:val="nil"/>
              <w:bottom w:val="nil"/>
              <w:right w:val="nil"/>
            </w:tcBorders>
          </w:tcPr>
          <w:p w:rsidR="00DE641D" w:rsidRPr="00034098" w:rsidRDefault="009936DF" w:rsidP="006C3658">
            <w:pPr>
              <w:jc w:val="right"/>
              <w:rPr>
                <w:rFonts w:ascii="Bookman Old Style" w:hAnsi="Bookman Old Style"/>
                <w:sz w:val="20"/>
              </w:rPr>
            </w:pPr>
            <w:r>
              <w:rPr>
                <w:rFonts w:ascii="Bookman Old Style" w:hAnsi="Bookman Old Style"/>
                <w:sz w:val="20"/>
              </w:rPr>
              <w:t>899</w:t>
            </w:r>
          </w:p>
        </w:tc>
      </w:tr>
      <w:tr w:rsidR="00DE641D" w:rsidRPr="00034098" w:rsidTr="006C3658">
        <w:tc>
          <w:tcPr>
            <w:tcW w:w="2622" w:type="dxa"/>
            <w:tcBorders>
              <w:top w:val="nil"/>
              <w:left w:val="nil"/>
              <w:bottom w:val="nil"/>
              <w:right w:val="nil"/>
            </w:tcBorders>
          </w:tcPr>
          <w:p w:rsidR="00DE641D" w:rsidRPr="00034098" w:rsidRDefault="00DE641D" w:rsidP="006C3658">
            <w:pPr>
              <w:rPr>
                <w:rFonts w:ascii="Bookman Old Style" w:hAnsi="Bookman Old Style"/>
                <w:sz w:val="20"/>
              </w:rPr>
            </w:pPr>
            <w:r w:rsidRPr="00034098">
              <w:rPr>
                <w:rFonts w:ascii="Bookman Old Style" w:hAnsi="Bookman Old Style"/>
                <w:sz w:val="20"/>
              </w:rPr>
              <w:t>Postreturer</w:t>
            </w:r>
          </w:p>
        </w:tc>
        <w:tc>
          <w:tcPr>
            <w:tcW w:w="1276" w:type="dxa"/>
            <w:tcBorders>
              <w:top w:val="nil"/>
              <w:left w:val="nil"/>
              <w:bottom w:val="nil"/>
              <w:right w:val="nil"/>
            </w:tcBorders>
          </w:tcPr>
          <w:p w:rsidR="00DE641D" w:rsidRPr="00034098" w:rsidRDefault="009936DF" w:rsidP="006C3658">
            <w:pPr>
              <w:jc w:val="right"/>
              <w:rPr>
                <w:rFonts w:ascii="Bookman Old Style" w:hAnsi="Bookman Old Style"/>
                <w:sz w:val="20"/>
              </w:rPr>
            </w:pPr>
            <w:r>
              <w:rPr>
                <w:rFonts w:ascii="Bookman Old Style" w:hAnsi="Bookman Old Style"/>
                <w:sz w:val="20"/>
              </w:rPr>
              <w:t>24</w:t>
            </w:r>
          </w:p>
        </w:tc>
      </w:tr>
      <w:tr w:rsidR="00DE641D" w:rsidRPr="00034098" w:rsidTr="006C3658">
        <w:tc>
          <w:tcPr>
            <w:tcW w:w="2622" w:type="dxa"/>
            <w:tcBorders>
              <w:top w:val="nil"/>
              <w:left w:val="nil"/>
              <w:bottom w:val="nil"/>
              <w:right w:val="nil"/>
            </w:tcBorders>
          </w:tcPr>
          <w:p w:rsidR="00DE641D" w:rsidRPr="00034098" w:rsidRDefault="00DE641D" w:rsidP="006C3658">
            <w:pPr>
              <w:rPr>
                <w:rFonts w:ascii="Bookman Old Style" w:hAnsi="Bookman Old Style"/>
                <w:sz w:val="20"/>
              </w:rPr>
            </w:pPr>
            <w:r w:rsidRPr="00034098">
              <w:rPr>
                <w:rFonts w:ascii="Bookman Old Style" w:hAnsi="Bookman Old Style"/>
                <w:sz w:val="20"/>
              </w:rPr>
              <w:t>Avböjd medverkan</w:t>
            </w:r>
          </w:p>
        </w:tc>
        <w:tc>
          <w:tcPr>
            <w:tcW w:w="1276" w:type="dxa"/>
            <w:tcBorders>
              <w:top w:val="nil"/>
              <w:left w:val="nil"/>
              <w:bottom w:val="nil"/>
              <w:right w:val="nil"/>
            </w:tcBorders>
          </w:tcPr>
          <w:p w:rsidR="00DE641D" w:rsidRPr="00034098" w:rsidRDefault="00DE641D" w:rsidP="006C3658">
            <w:pPr>
              <w:jc w:val="right"/>
              <w:rPr>
                <w:rFonts w:ascii="Bookman Old Style" w:hAnsi="Bookman Old Style"/>
                <w:sz w:val="20"/>
              </w:rPr>
            </w:pPr>
            <w:r w:rsidRPr="00034098">
              <w:rPr>
                <w:rFonts w:ascii="Bookman Old Style" w:hAnsi="Bookman Old Style"/>
                <w:sz w:val="20"/>
              </w:rPr>
              <w:t>5</w:t>
            </w:r>
          </w:p>
        </w:tc>
      </w:tr>
      <w:tr w:rsidR="00DE641D" w:rsidRPr="00034098" w:rsidTr="009936DF">
        <w:tc>
          <w:tcPr>
            <w:tcW w:w="2622" w:type="dxa"/>
            <w:tcBorders>
              <w:top w:val="nil"/>
              <w:left w:val="nil"/>
              <w:bottom w:val="single" w:sz="6" w:space="0" w:color="auto"/>
              <w:right w:val="nil"/>
            </w:tcBorders>
          </w:tcPr>
          <w:p w:rsidR="00DE641D" w:rsidRPr="00034098" w:rsidRDefault="00DE641D" w:rsidP="006C3658">
            <w:pPr>
              <w:rPr>
                <w:rFonts w:ascii="Bookman Old Style" w:hAnsi="Bookman Old Style"/>
                <w:sz w:val="20"/>
              </w:rPr>
            </w:pPr>
          </w:p>
        </w:tc>
        <w:tc>
          <w:tcPr>
            <w:tcW w:w="1276" w:type="dxa"/>
            <w:tcBorders>
              <w:top w:val="nil"/>
              <w:left w:val="nil"/>
              <w:bottom w:val="single" w:sz="6" w:space="0" w:color="auto"/>
              <w:right w:val="nil"/>
            </w:tcBorders>
          </w:tcPr>
          <w:p w:rsidR="00DE641D" w:rsidRPr="00034098" w:rsidRDefault="00DE641D" w:rsidP="006C3658">
            <w:pPr>
              <w:jc w:val="right"/>
              <w:rPr>
                <w:rFonts w:ascii="Bookman Old Style" w:hAnsi="Bookman Old Style"/>
                <w:sz w:val="20"/>
              </w:rPr>
            </w:pPr>
          </w:p>
        </w:tc>
      </w:tr>
      <w:tr w:rsidR="00DE641D" w:rsidRPr="00034098" w:rsidTr="009936DF">
        <w:tc>
          <w:tcPr>
            <w:tcW w:w="2622" w:type="dxa"/>
            <w:tcBorders>
              <w:top w:val="single" w:sz="6" w:space="0" w:color="auto"/>
              <w:left w:val="nil"/>
              <w:bottom w:val="single" w:sz="6" w:space="0" w:color="auto"/>
              <w:right w:val="nil"/>
            </w:tcBorders>
          </w:tcPr>
          <w:p w:rsidR="00DE641D" w:rsidRPr="00034098" w:rsidRDefault="00DE641D" w:rsidP="006C3658">
            <w:pPr>
              <w:rPr>
                <w:rFonts w:ascii="Bookman Old Style" w:hAnsi="Bookman Old Style"/>
                <w:sz w:val="20"/>
              </w:rPr>
            </w:pPr>
            <w:r w:rsidRPr="00034098">
              <w:rPr>
                <w:rFonts w:ascii="Bookman Old Style" w:hAnsi="Bookman Old Style"/>
                <w:sz w:val="20"/>
              </w:rPr>
              <w:t>Totalt</w:t>
            </w:r>
          </w:p>
        </w:tc>
        <w:tc>
          <w:tcPr>
            <w:tcW w:w="1276" w:type="dxa"/>
            <w:tcBorders>
              <w:top w:val="single" w:sz="6" w:space="0" w:color="auto"/>
              <w:left w:val="nil"/>
              <w:bottom w:val="single" w:sz="6" w:space="0" w:color="auto"/>
              <w:right w:val="nil"/>
            </w:tcBorders>
          </w:tcPr>
          <w:p w:rsidR="00DE641D" w:rsidRPr="00034098" w:rsidRDefault="009936DF" w:rsidP="006C3658">
            <w:pPr>
              <w:jc w:val="right"/>
              <w:rPr>
                <w:rFonts w:ascii="Bookman Old Style" w:hAnsi="Bookman Old Style"/>
                <w:sz w:val="20"/>
              </w:rPr>
            </w:pPr>
            <w:r>
              <w:rPr>
                <w:rFonts w:ascii="Bookman Old Style" w:hAnsi="Bookman Old Style"/>
                <w:sz w:val="20"/>
              </w:rPr>
              <w:t>928</w:t>
            </w:r>
          </w:p>
        </w:tc>
      </w:tr>
    </w:tbl>
    <w:p w:rsidR="00DE641D" w:rsidRPr="00E80352" w:rsidRDefault="00DE641D" w:rsidP="00DE641D">
      <w:pPr>
        <w:pStyle w:val="Brdtext"/>
        <w:rPr>
          <w:color w:val="auto"/>
        </w:rPr>
      </w:pPr>
    </w:p>
    <w:p w:rsidR="00DE641D" w:rsidRPr="00E80352" w:rsidRDefault="00DE641D" w:rsidP="00DE641D">
      <w:pPr>
        <w:pStyle w:val="Brdtext"/>
        <w:rPr>
          <w:color w:val="auto"/>
        </w:rPr>
      </w:pPr>
      <w:r w:rsidRPr="00E80352">
        <w:rPr>
          <w:color w:val="auto"/>
        </w:rPr>
        <w:t xml:space="preserve">I tabell </w:t>
      </w:r>
      <w:r w:rsidR="000A06EE">
        <w:rPr>
          <w:color w:val="auto"/>
        </w:rPr>
        <w:t>3</w:t>
      </w:r>
      <w:r w:rsidRPr="00E80352">
        <w:rPr>
          <w:color w:val="auto"/>
        </w:rPr>
        <w:t xml:space="preserve"> visas svarsandelen, som är komplementmängd till objektsbortfallet, i några utvalda grupper. I bilagan finns svarsandelar </w:t>
      </w:r>
      <w:r w:rsidR="009936DF">
        <w:rPr>
          <w:color w:val="auto"/>
        </w:rPr>
        <w:t xml:space="preserve">för </w:t>
      </w:r>
      <w:r w:rsidRPr="00E80352">
        <w:rPr>
          <w:color w:val="auto"/>
        </w:rPr>
        <w:t>ytterligare några grupper.</w:t>
      </w:r>
    </w:p>
    <w:p w:rsidR="00DE641D" w:rsidRPr="00E80352" w:rsidRDefault="00DE641D" w:rsidP="00DE641D">
      <w:pPr>
        <w:pStyle w:val="Brdtext"/>
        <w:rPr>
          <w:color w:val="auto"/>
        </w:rPr>
      </w:pPr>
    </w:p>
    <w:p w:rsidR="00DE641D" w:rsidRPr="00E80352" w:rsidRDefault="00DE641D" w:rsidP="00DE641D">
      <w:pPr>
        <w:tabs>
          <w:tab w:val="right" w:pos="2552"/>
          <w:tab w:val="right" w:pos="4395"/>
        </w:tabs>
        <w:rPr>
          <w:rFonts w:ascii="Bookman Old Style" w:hAnsi="Bookman Old Style"/>
          <w:b/>
          <w:sz w:val="20"/>
        </w:rPr>
      </w:pPr>
      <w:r w:rsidRPr="00E80352">
        <w:rPr>
          <w:rFonts w:ascii="Bookman Old Style" w:hAnsi="Bookman Old Style"/>
          <w:b/>
          <w:sz w:val="20"/>
        </w:rPr>
        <w:t xml:space="preserve">Tabell </w:t>
      </w:r>
      <w:r w:rsidR="009936DF">
        <w:rPr>
          <w:rFonts w:ascii="Bookman Old Style" w:hAnsi="Bookman Old Style"/>
          <w:b/>
          <w:sz w:val="20"/>
        </w:rPr>
        <w:t>3.</w:t>
      </w:r>
      <w:r w:rsidRPr="00E80352">
        <w:rPr>
          <w:rFonts w:ascii="Bookman Old Style" w:hAnsi="Bookman Old Style"/>
          <w:b/>
          <w:sz w:val="20"/>
        </w:rPr>
        <w:t xml:space="preserve"> </w:t>
      </w:r>
      <w:r>
        <w:rPr>
          <w:rFonts w:ascii="Bookman Old Style" w:hAnsi="Bookman Old Style"/>
          <w:b/>
          <w:sz w:val="20"/>
        </w:rPr>
        <w:t>Svarsandel</w:t>
      </w:r>
      <w:r w:rsidRPr="00E80352">
        <w:rPr>
          <w:rFonts w:ascii="Bookman Old Style" w:hAnsi="Bookman Old Style"/>
          <w:b/>
          <w:sz w:val="20"/>
        </w:rPr>
        <w:t xml:space="preserve"> i olika grupper</w:t>
      </w:r>
      <w:r>
        <w:rPr>
          <w:rFonts w:ascii="Bookman Old Style" w:hAnsi="Bookman Old Style"/>
          <w:b/>
          <w:sz w:val="20"/>
        </w:rPr>
        <w:t>. Procent.</w:t>
      </w:r>
    </w:p>
    <w:tbl>
      <w:tblPr>
        <w:tblW w:w="0" w:type="auto"/>
        <w:tblLayout w:type="fixed"/>
        <w:tblCellMar>
          <w:left w:w="70" w:type="dxa"/>
          <w:right w:w="70" w:type="dxa"/>
        </w:tblCellMar>
        <w:tblLook w:val="0000"/>
      </w:tblPr>
      <w:tblGrid>
        <w:gridCol w:w="5852"/>
        <w:gridCol w:w="880"/>
      </w:tblGrid>
      <w:tr w:rsidR="00967C13" w:rsidRPr="00E80352" w:rsidTr="00B042BF">
        <w:tc>
          <w:tcPr>
            <w:tcW w:w="6732" w:type="dxa"/>
            <w:gridSpan w:val="2"/>
            <w:tcBorders>
              <w:top w:val="single" w:sz="12" w:space="0" w:color="808080"/>
              <w:left w:val="nil"/>
              <w:bottom w:val="single" w:sz="6" w:space="0" w:color="808080"/>
              <w:right w:val="nil"/>
            </w:tcBorders>
          </w:tcPr>
          <w:p w:rsidR="00967C13" w:rsidRPr="00E80352" w:rsidRDefault="00967C13" w:rsidP="009936DF">
            <w:pPr>
              <w:jc w:val="right"/>
              <w:rPr>
                <w:rFonts w:ascii="Bookman Old Style" w:hAnsi="Bookman Old Style"/>
                <w:sz w:val="20"/>
              </w:rPr>
            </w:pPr>
            <w:r w:rsidRPr="00E80352">
              <w:rPr>
                <w:rFonts w:ascii="Bookman Old Style" w:hAnsi="Bookman Old Style"/>
                <w:sz w:val="20"/>
              </w:rPr>
              <w:t xml:space="preserve">Procent </w:t>
            </w:r>
          </w:p>
        </w:tc>
      </w:tr>
      <w:tr w:rsidR="00DE641D" w:rsidRPr="00E80352" w:rsidTr="006C3658">
        <w:tc>
          <w:tcPr>
            <w:tcW w:w="5852" w:type="dxa"/>
            <w:tcBorders>
              <w:top w:val="nil"/>
              <w:left w:val="nil"/>
              <w:bottom w:val="nil"/>
              <w:right w:val="nil"/>
            </w:tcBorders>
          </w:tcPr>
          <w:p w:rsidR="00DE641D" w:rsidRPr="00E80352" w:rsidRDefault="00DE641D" w:rsidP="006C3658">
            <w:pPr>
              <w:rPr>
                <w:rFonts w:ascii="Bookman Old Style" w:hAnsi="Bookman Old Style"/>
                <w:sz w:val="20"/>
              </w:rPr>
            </w:pPr>
            <w:r w:rsidRPr="00E80352">
              <w:rPr>
                <w:rFonts w:ascii="Bookman Old Style" w:hAnsi="Bookman Old Style"/>
                <w:sz w:val="20"/>
              </w:rPr>
              <w:t>Kvinnor</w:t>
            </w:r>
          </w:p>
        </w:tc>
        <w:tc>
          <w:tcPr>
            <w:tcW w:w="880" w:type="dxa"/>
            <w:tcBorders>
              <w:top w:val="nil"/>
              <w:left w:val="nil"/>
              <w:bottom w:val="nil"/>
              <w:right w:val="nil"/>
            </w:tcBorders>
          </w:tcPr>
          <w:p w:rsidR="00DE641D" w:rsidRPr="00E80352" w:rsidRDefault="00967C13" w:rsidP="006C3658">
            <w:pPr>
              <w:jc w:val="right"/>
              <w:rPr>
                <w:rFonts w:ascii="Bookman Old Style" w:hAnsi="Bookman Old Style"/>
                <w:sz w:val="20"/>
              </w:rPr>
            </w:pPr>
            <w:r>
              <w:rPr>
                <w:rFonts w:ascii="Bookman Old Style" w:hAnsi="Bookman Old Style"/>
                <w:sz w:val="20"/>
              </w:rPr>
              <w:t>60,9</w:t>
            </w:r>
          </w:p>
        </w:tc>
      </w:tr>
      <w:tr w:rsidR="00DE641D" w:rsidRPr="00E80352" w:rsidTr="006C3658">
        <w:tc>
          <w:tcPr>
            <w:tcW w:w="5852" w:type="dxa"/>
            <w:tcBorders>
              <w:top w:val="nil"/>
              <w:left w:val="nil"/>
              <w:bottom w:val="nil"/>
              <w:right w:val="nil"/>
            </w:tcBorders>
          </w:tcPr>
          <w:p w:rsidR="00DE641D" w:rsidRPr="00E80352" w:rsidRDefault="00DE641D" w:rsidP="006C3658">
            <w:pPr>
              <w:rPr>
                <w:rFonts w:ascii="Bookman Old Style" w:hAnsi="Bookman Old Style"/>
                <w:sz w:val="20"/>
              </w:rPr>
            </w:pPr>
            <w:r w:rsidRPr="00E80352">
              <w:rPr>
                <w:rFonts w:ascii="Bookman Old Style" w:hAnsi="Bookman Old Style"/>
                <w:sz w:val="20"/>
              </w:rPr>
              <w:t>Män</w:t>
            </w:r>
          </w:p>
        </w:tc>
        <w:tc>
          <w:tcPr>
            <w:tcW w:w="880" w:type="dxa"/>
            <w:tcBorders>
              <w:top w:val="nil"/>
              <w:left w:val="nil"/>
              <w:bottom w:val="nil"/>
              <w:right w:val="nil"/>
            </w:tcBorders>
          </w:tcPr>
          <w:p w:rsidR="00DE641D" w:rsidRPr="00E80352" w:rsidRDefault="00967C13" w:rsidP="006C3658">
            <w:pPr>
              <w:jc w:val="right"/>
              <w:rPr>
                <w:rFonts w:ascii="Bookman Old Style" w:hAnsi="Bookman Old Style"/>
                <w:sz w:val="20"/>
              </w:rPr>
            </w:pPr>
            <w:r>
              <w:rPr>
                <w:rFonts w:ascii="Bookman Old Style" w:hAnsi="Bookman Old Style"/>
                <w:sz w:val="20"/>
              </w:rPr>
              <w:t>48,4</w:t>
            </w:r>
          </w:p>
        </w:tc>
      </w:tr>
      <w:tr w:rsidR="00DE641D" w:rsidRPr="00E80352" w:rsidTr="006C3658">
        <w:tc>
          <w:tcPr>
            <w:tcW w:w="5852" w:type="dxa"/>
            <w:tcBorders>
              <w:top w:val="nil"/>
              <w:left w:val="nil"/>
              <w:bottom w:val="nil"/>
              <w:right w:val="nil"/>
            </w:tcBorders>
          </w:tcPr>
          <w:p w:rsidR="00DE641D" w:rsidRPr="00E80352" w:rsidRDefault="00DE641D" w:rsidP="006C3658">
            <w:pPr>
              <w:rPr>
                <w:rFonts w:ascii="Bookman Old Style" w:hAnsi="Bookman Old Style"/>
                <w:sz w:val="20"/>
              </w:rPr>
            </w:pPr>
          </w:p>
        </w:tc>
        <w:tc>
          <w:tcPr>
            <w:tcW w:w="880" w:type="dxa"/>
            <w:tcBorders>
              <w:top w:val="nil"/>
              <w:left w:val="nil"/>
              <w:bottom w:val="nil"/>
              <w:right w:val="nil"/>
            </w:tcBorders>
          </w:tcPr>
          <w:p w:rsidR="00DE641D" w:rsidRPr="00E80352" w:rsidRDefault="00DE641D" w:rsidP="006C3658">
            <w:pPr>
              <w:jc w:val="right"/>
              <w:rPr>
                <w:rFonts w:ascii="Bookman Old Style" w:hAnsi="Bookman Old Style"/>
                <w:sz w:val="20"/>
              </w:rPr>
            </w:pPr>
          </w:p>
        </w:tc>
      </w:tr>
      <w:tr w:rsidR="00DE641D" w:rsidRPr="00E80352" w:rsidTr="006C3658">
        <w:tc>
          <w:tcPr>
            <w:tcW w:w="5852" w:type="dxa"/>
            <w:tcBorders>
              <w:top w:val="nil"/>
              <w:left w:val="nil"/>
              <w:bottom w:val="nil"/>
              <w:right w:val="nil"/>
            </w:tcBorders>
          </w:tcPr>
          <w:p w:rsidR="00DE641D" w:rsidRPr="00E80352" w:rsidRDefault="00DE641D" w:rsidP="006C3658">
            <w:pPr>
              <w:rPr>
                <w:rFonts w:ascii="Bookman Old Style" w:hAnsi="Bookman Old Style"/>
                <w:sz w:val="20"/>
              </w:rPr>
            </w:pPr>
            <w:r w:rsidRPr="00E80352">
              <w:rPr>
                <w:rFonts w:ascii="Bookman Old Style" w:hAnsi="Bookman Old Style"/>
                <w:sz w:val="20"/>
              </w:rPr>
              <w:t>Civilingenjör</w:t>
            </w:r>
            <w:r w:rsidR="00B519F3">
              <w:rPr>
                <w:rFonts w:ascii="Bookman Old Style" w:hAnsi="Bookman Old Style"/>
                <w:sz w:val="20"/>
              </w:rPr>
              <w:t>er</w:t>
            </w:r>
          </w:p>
        </w:tc>
        <w:tc>
          <w:tcPr>
            <w:tcW w:w="880" w:type="dxa"/>
            <w:tcBorders>
              <w:top w:val="nil"/>
              <w:left w:val="nil"/>
              <w:bottom w:val="nil"/>
              <w:right w:val="nil"/>
            </w:tcBorders>
          </w:tcPr>
          <w:p w:rsidR="00DE641D" w:rsidRPr="00E80352" w:rsidRDefault="00967C13" w:rsidP="006C3658">
            <w:pPr>
              <w:jc w:val="right"/>
              <w:rPr>
                <w:rFonts w:ascii="Bookman Old Style" w:hAnsi="Bookman Old Style"/>
                <w:sz w:val="20"/>
              </w:rPr>
            </w:pPr>
            <w:r>
              <w:rPr>
                <w:rFonts w:ascii="Bookman Old Style" w:hAnsi="Bookman Old Style"/>
                <w:sz w:val="20"/>
              </w:rPr>
              <w:t>55,3</w:t>
            </w:r>
          </w:p>
        </w:tc>
      </w:tr>
      <w:tr w:rsidR="00DE641D" w:rsidRPr="00E80352" w:rsidTr="006C3658">
        <w:tc>
          <w:tcPr>
            <w:tcW w:w="5852" w:type="dxa"/>
            <w:tcBorders>
              <w:top w:val="nil"/>
              <w:left w:val="nil"/>
              <w:bottom w:val="nil"/>
              <w:right w:val="nil"/>
            </w:tcBorders>
          </w:tcPr>
          <w:p w:rsidR="00DE641D" w:rsidRPr="00E80352" w:rsidRDefault="00DE641D" w:rsidP="006C3658">
            <w:pPr>
              <w:rPr>
                <w:rFonts w:ascii="Bookman Old Style" w:hAnsi="Bookman Old Style"/>
                <w:sz w:val="20"/>
              </w:rPr>
            </w:pPr>
            <w:r w:rsidRPr="00E80352">
              <w:rPr>
                <w:rFonts w:ascii="Bookman Old Style" w:hAnsi="Bookman Old Style"/>
                <w:sz w:val="20"/>
              </w:rPr>
              <w:t>Högskoleingenjör</w:t>
            </w:r>
            <w:r w:rsidR="00B519F3">
              <w:rPr>
                <w:rFonts w:ascii="Bookman Old Style" w:hAnsi="Bookman Old Style"/>
                <w:sz w:val="20"/>
              </w:rPr>
              <w:t>er</w:t>
            </w:r>
          </w:p>
        </w:tc>
        <w:tc>
          <w:tcPr>
            <w:tcW w:w="880" w:type="dxa"/>
            <w:tcBorders>
              <w:top w:val="nil"/>
              <w:left w:val="nil"/>
              <w:bottom w:val="nil"/>
              <w:right w:val="nil"/>
            </w:tcBorders>
          </w:tcPr>
          <w:p w:rsidR="00DE641D" w:rsidRPr="00E80352" w:rsidRDefault="00967C13" w:rsidP="006C3658">
            <w:pPr>
              <w:jc w:val="right"/>
              <w:rPr>
                <w:rFonts w:ascii="Bookman Old Style" w:hAnsi="Bookman Old Style"/>
                <w:sz w:val="20"/>
              </w:rPr>
            </w:pPr>
            <w:r>
              <w:rPr>
                <w:rFonts w:ascii="Bookman Old Style" w:hAnsi="Bookman Old Style"/>
                <w:sz w:val="20"/>
              </w:rPr>
              <w:t>47,2</w:t>
            </w:r>
          </w:p>
        </w:tc>
      </w:tr>
      <w:tr w:rsidR="00DE641D" w:rsidRPr="00E80352" w:rsidTr="006C3658">
        <w:tc>
          <w:tcPr>
            <w:tcW w:w="5852" w:type="dxa"/>
            <w:tcBorders>
              <w:top w:val="nil"/>
              <w:left w:val="nil"/>
              <w:bottom w:val="nil"/>
              <w:right w:val="nil"/>
            </w:tcBorders>
          </w:tcPr>
          <w:p w:rsidR="00DE641D" w:rsidRPr="00E80352" w:rsidRDefault="00DE641D" w:rsidP="006C3658">
            <w:pPr>
              <w:rPr>
                <w:rFonts w:ascii="Bookman Old Style" w:hAnsi="Bookman Old Style"/>
                <w:sz w:val="20"/>
              </w:rPr>
            </w:pPr>
            <w:r w:rsidRPr="00E80352">
              <w:rPr>
                <w:rFonts w:ascii="Bookman Old Style" w:hAnsi="Bookman Old Style"/>
                <w:sz w:val="20"/>
              </w:rPr>
              <w:t>Arkitekt</w:t>
            </w:r>
            <w:r w:rsidR="00B519F3">
              <w:rPr>
                <w:rFonts w:ascii="Bookman Old Style" w:hAnsi="Bookman Old Style"/>
                <w:sz w:val="20"/>
              </w:rPr>
              <w:t>er</w:t>
            </w:r>
          </w:p>
        </w:tc>
        <w:tc>
          <w:tcPr>
            <w:tcW w:w="880" w:type="dxa"/>
            <w:tcBorders>
              <w:top w:val="nil"/>
              <w:left w:val="nil"/>
              <w:bottom w:val="nil"/>
              <w:right w:val="nil"/>
            </w:tcBorders>
          </w:tcPr>
          <w:p w:rsidR="00DE641D" w:rsidRPr="00E80352" w:rsidRDefault="00967C13" w:rsidP="006C3658">
            <w:pPr>
              <w:jc w:val="right"/>
              <w:rPr>
                <w:rFonts w:ascii="Bookman Old Style" w:hAnsi="Bookman Old Style"/>
                <w:sz w:val="20"/>
              </w:rPr>
            </w:pPr>
            <w:r>
              <w:rPr>
                <w:rFonts w:ascii="Bookman Old Style" w:hAnsi="Bookman Old Style"/>
                <w:sz w:val="20"/>
              </w:rPr>
              <w:t>53,0</w:t>
            </w:r>
          </w:p>
        </w:tc>
      </w:tr>
      <w:tr w:rsidR="00DE641D" w:rsidRPr="00E80352" w:rsidTr="006C3658">
        <w:tc>
          <w:tcPr>
            <w:tcW w:w="5852" w:type="dxa"/>
            <w:tcBorders>
              <w:top w:val="nil"/>
              <w:left w:val="nil"/>
              <w:bottom w:val="nil"/>
              <w:right w:val="nil"/>
            </w:tcBorders>
          </w:tcPr>
          <w:p w:rsidR="00DE641D" w:rsidRPr="00E80352" w:rsidRDefault="00DE641D" w:rsidP="006C3658">
            <w:pPr>
              <w:rPr>
                <w:rFonts w:ascii="Bookman Old Style" w:hAnsi="Bookman Old Style"/>
                <w:sz w:val="20"/>
              </w:rPr>
            </w:pPr>
            <w:r w:rsidRPr="00E80352">
              <w:rPr>
                <w:rFonts w:ascii="Bookman Old Style" w:hAnsi="Bookman Old Style"/>
                <w:sz w:val="20"/>
              </w:rPr>
              <w:t>Högskoleutbildning</w:t>
            </w:r>
          </w:p>
        </w:tc>
        <w:tc>
          <w:tcPr>
            <w:tcW w:w="880" w:type="dxa"/>
            <w:tcBorders>
              <w:top w:val="nil"/>
              <w:left w:val="nil"/>
              <w:bottom w:val="nil"/>
              <w:right w:val="nil"/>
            </w:tcBorders>
          </w:tcPr>
          <w:p w:rsidR="00DE641D" w:rsidRPr="00E80352" w:rsidRDefault="00967C13" w:rsidP="006C3658">
            <w:pPr>
              <w:jc w:val="right"/>
              <w:rPr>
                <w:rFonts w:ascii="Bookman Old Style" w:hAnsi="Bookman Old Style"/>
                <w:sz w:val="20"/>
              </w:rPr>
            </w:pPr>
            <w:r>
              <w:rPr>
                <w:rFonts w:ascii="Bookman Old Style" w:hAnsi="Bookman Old Style"/>
                <w:sz w:val="20"/>
              </w:rPr>
              <w:t>40,2</w:t>
            </w:r>
          </w:p>
        </w:tc>
      </w:tr>
      <w:tr w:rsidR="00DE641D" w:rsidRPr="00E80352" w:rsidTr="006C3658">
        <w:tc>
          <w:tcPr>
            <w:tcW w:w="5852" w:type="dxa"/>
            <w:tcBorders>
              <w:top w:val="nil"/>
              <w:left w:val="nil"/>
              <w:bottom w:val="nil"/>
              <w:right w:val="nil"/>
            </w:tcBorders>
          </w:tcPr>
          <w:p w:rsidR="00DE641D" w:rsidRPr="00E80352" w:rsidRDefault="00DE641D" w:rsidP="006C3658">
            <w:pPr>
              <w:rPr>
                <w:rFonts w:ascii="Bookman Old Style" w:hAnsi="Bookman Old Style"/>
                <w:sz w:val="20"/>
              </w:rPr>
            </w:pPr>
            <w:r w:rsidRPr="00E80352">
              <w:rPr>
                <w:rFonts w:ascii="Bookman Old Style" w:hAnsi="Bookman Old Style"/>
                <w:sz w:val="20"/>
              </w:rPr>
              <w:t>Kandidatprogram</w:t>
            </w:r>
          </w:p>
        </w:tc>
        <w:tc>
          <w:tcPr>
            <w:tcW w:w="880" w:type="dxa"/>
            <w:tcBorders>
              <w:top w:val="nil"/>
              <w:left w:val="nil"/>
              <w:bottom w:val="nil"/>
              <w:right w:val="nil"/>
            </w:tcBorders>
          </w:tcPr>
          <w:p w:rsidR="00DE641D" w:rsidRPr="00E80352" w:rsidRDefault="00967C13" w:rsidP="006C3658">
            <w:pPr>
              <w:jc w:val="right"/>
              <w:rPr>
                <w:rFonts w:ascii="Bookman Old Style" w:hAnsi="Bookman Old Style"/>
                <w:sz w:val="20"/>
              </w:rPr>
            </w:pPr>
            <w:r>
              <w:rPr>
                <w:rFonts w:ascii="Bookman Old Style" w:hAnsi="Bookman Old Style"/>
                <w:sz w:val="20"/>
              </w:rPr>
              <w:t>46,6</w:t>
            </w:r>
          </w:p>
        </w:tc>
      </w:tr>
      <w:tr w:rsidR="00DE641D" w:rsidRPr="00E80352" w:rsidTr="006C3658">
        <w:trPr>
          <w:trHeight w:hRule="exact" w:val="170"/>
        </w:trPr>
        <w:tc>
          <w:tcPr>
            <w:tcW w:w="5852" w:type="dxa"/>
            <w:tcBorders>
              <w:top w:val="nil"/>
              <w:left w:val="nil"/>
              <w:bottom w:val="single" w:sz="6" w:space="0" w:color="auto"/>
              <w:right w:val="nil"/>
            </w:tcBorders>
          </w:tcPr>
          <w:p w:rsidR="00DE641D" w:rsidRPr="00E80352" w:rsidRDefault="00DE641D" w:rsidP="006C3658">
            <w:pPr>
              <w:rPr>
                <w:rFonts w:ascii="Bookman Old Style" w:hAnsi="Bookman Old Style"/>
                <w:sz w:val="20"/>
              </w:rPr>
            </w:pPr>
          </w:p>
        </w:tc>
        <w:tc>
          <w:tcPr>
            <w:tcW w:w="880" w:type="dxa"/>
            <w:tcBorders>
              <w:top w:val="nil"/>
              <w:left w:val="nil"/>
              <w:bottom w:val="single" w:sz="6" w:space="0" w:color="auto"/>
              <w:right w:val="nil"/>
            </w:tcBorders>
          </w:tcPr>
          <w:p w:rsidR="00DE641D" w:rsidRPr="00E80352" w:rsidRDefault="00DE641D" w:rsidP="006C3658">
            <w:pPr>
              <w:jc w:val="right"/>
              <w:rPr>
                <w:rFonts w:ascii="Bookman Old Style" w:hAnsi="Bookman Old Style"/>
                <w:sz w:val="20"/>
              </w:rPr>
            </w:pPr>
          </w:p>
        </w:tc>
      </w:tr>
    </w:tbl>
    <w:p w:rsidR="00DE641D" w:rsidRPr="00E80352" w:rsidRDefault="00DE641D" w:rsidP="00DE641D">
      <w:pPr>
        <w:pStyle w:val="Brdtext"/>
        <w:rPr>
          <w:color w:val="auto"/>
        </w:rPr>
      </w:pPr>
    </w:p>
    <w:p w:rsidR="00DE641D" w:rsidRPr="00E80352" w:rsidRDefault="00DE641D" w:rsidP="00DE641D">
      <w:pPr>
        <w:pStyle w:val="Brdtext"/>
        <w:rPr>
          <w:color w:val="auto"/>
        </w:rPr>
      </w:pPr>
      <w:r w:rsidRPr="00E80352">
        <w:rPr>
          <w:color w:val="auto"/>
        </w:rPr>
        <w:t>Partiellt bortfall kan bero på att en fråga är svår att förstå, är känslig, att uppgiftslämnaren glömmer att besvara frågan eller att instruktionerna vid hoppfrågor misstolkas. Det partiella bortfallet anges som ”uppgift saknas” i tabellerna och diagram.</w:t>
      </w:r>
    </w:p>
    <w:p w:rsidR="00DE641D" w:rsidRPr="003459BE" w:rsidRDefault="00DE641D" w:rsidP="00DE641D">
      <w:pPr>
        <w:pStyle w:val="Brdtext22"/>
        <w:rPr>
          <w:color w:val="auto"/>
        </w:rPr>
      </w:pPr>
    </w:p>
    <w:p w:rsidR="00DE641D" w:rsidRPr="00B87ED7" w:rsidRDefault="00DE641D" w:rsidP="00DE641D">
      <w:pPr>
        <w:pStyle w:val="Rubrik2"/>
      </w:pPr>
      <w:r w:rsidRPr="00B87ED7">
        <w:t>Databeredning</w:t>
      </w:r>
    </w:p>
    <w:p w:rsidR="00DE641D" w:rsidRPr="003459BE" w:rsidRDefault="00DE641D" w:rsidP="00DE641D">
      <w:pPr>
        <w:pStyle w:val="Brdtext"/>
        <w:rPr>
          <w:color w:val="auto"/>
        </w:rPr>
      </w:pPr>
      <w:r w:rsidRPr="003459BE">
        <w:rPr>
          <w:color w:val="auto"/>
        </w:rPr>
        <w:t>Dataregistreringen genomfördes av enkätenheten vid SCB.</w:t>
      </w:r>
      <w:r w:rsidRPr="003459BE">
        <w:rPr>
          <w:rFonts w:ascii="Bookman Old Style" w:hAnsi="Bookman Old Style"/>
          <w:color w:val="auto"/>
          <w:sz w:val="20"/>
        </w:rPr>
        <w:t xml:space="preserve"> </w:t>
      </w:r>
      <w:r w:rsidRPr="003459BE">
        <w:rPr>
          <w:color w:val="auto"/>
        </w:rPr>
        <w:t>Fråge</w:t>
      </w:r>
      <w:r w:rsidR="00B87ED7">
        <w:rPr>
          <w:color w:val="auto"/>
        </w:rPr>
        <w:softHyphen/>
      </w:r>
      <w:r w:rsidRPr="003459BE">
        <w:rPr>
          <w:color w:val="auto"/>
        </w:rPr>
        <w:t xml:space="preserve">blanketterna skannades med programvaran ReadSoft DOCUMENTS </w:t>
      </w:r>
      <w:r w:rsidR="00B87ED7">
        <w:rPr>
          <w:color w:val="auto"/>
        </w:rPr>
        <w:t xml:space="preserve">for </w:t>
      </w:r>
      <w:r w:rsidRPr="003459BE">
        <w:rPr>
          <w:color w:val="auto"/>
        </w:rPr>
        <w:t>FORMS. Kontroller genomfördes under och efter registreringen. Då kontrollerades bl.a. att endast valida värden förekom i materialet.</w:t>
      </w:r>
    </w:p>
    <w:p w:rsidR="00DE641D" w:rsidRPr="003459BE" w:rsidRDefault="00DE641D" w:rsidP="00DE641D">
      <w:pPr>
        <w:pStyle w:val="Brdtext"/>
        <w:rPr>
          <w:color w:val="auto"/>
        </w:rPr>
      </w:pPr>
    </w:p>
    <w:p w:rsidR="00DE641D" w:rsidRPr="003459BE" w:rsidRDefault="00DE641D" w:rsidP="00DE641D">
      <w:pPr>
        <w:pStyle w:val="Brdtext"/>
        <w:rPr>
          <w:color w:val="auto"/>
        </w:rPr>
      </w:pPr>
      <w:r w:rsidRPr="003459BE">
        <w:rPr>
          <w:color w:val="auto"/>
        </w:rPr>
        <w:t>Svarsdatafilen kompletterades med variabler från KTH samt med vikter för uppräkning till populationsnivå.</w:t>
      </w:r>
    </w:p>
    <w:p w:rsidR="00DE641D" w:rsidRPr="007A2638" w:rsidRDefault="00DE641D" w:rsidP="00DE641D"/>
    <w:p w:rsidR="00DE641D" w:rsidRPr="007A2638" w:rsidRDefault="00DE641D" w:rsidP="00DE641D">
      <w:pPr>
        <w:pStyle w:val="Rubrik2"/>
      </w:pPr>
      <w:r w:rsidRPr="007A2638">
        <w:t>Viktberäkning och estimation</w:t>
      </w:r>
    </w:p>
    <w:p w:rsidR="00DE641D" w:rsidRPr="007A2638" w:rsidRDefault="00DE641D" w:rsidP="00DE641D">
      <w:pPr>
        <w:pStyle w:val="Brdtext"/>
        <w:rPr>
          <w:color w:val="auto"/>
        </w:rPr>
      </w:pPr>
      <w:r w:rsidRPr="007A2638">
        <w:rPr>
          <w:color w:val="auto"/>
        </w:rPr>
        <w:t>Vikter har tagits fram så att resultat kan redovisas för hela populationen och inte bara för de svarande. Vikterna kompenserar för objektsbortfallet men inte för det partiella bortfallet. Om vikterna inte används så kan resultaten bli helt missvisande.</w:t>
      </w:r>
    </w:p>
    <w:p w:rsidR="00B87ED7" w:rsidRDefault="00B87ED7">
      <w:pPr>
        <w:overflowPunct/>
        <w:autoSpaceDE/>
        <w:autoSpaceDN/>
        <w:adjustRightInd/>
        <w:textAlignment w:val="auto"/>
        <w:rPr>
          <w:szCs w:val="24"/>
        </w:rPr>
      </w:pPr>
      <w:r>
        <w:rPr>
          <w:szCs w:val="24"/>
        </w:rPr>
        <w:br w:type="page"/>
      </w:r>
    </w:p>
    <w:p w:rsidR="00DE641D" w:rsidRPr="007A2638" w:rsidRDefault="00DE641D" w:rsidP="00DE641D">
      <w:pPr>
        <w:pStyle w:val="Brdtext"/>
        <w:rPr>
          <w:color w:val="auto"/>
        </w:rPr>
      </w:pPr>
      <w:r w:rsidRPr="007A2638">
        <w:rPr>
          <w:color w:val="auto"/>
        </w:rPr>
        <w:lastRenderedPageBreak/>
        <w:t>Vikterna i denna undersökning kan beskrivas med formeln:</w:t>
      </w:r>
    </w:p>
    <w:p w:rsidR="00DE641D" w:rsidRPr="00EF7A1B" w:rsidRDefault="00DE641D" w:rsidP="00DE641D">
      <w:pPr>
        <w:pStyle w:val="Brdtext22"/>
        <w:rPr>
          <w:color w:val="auto"/>
          <w:sz w:val="18"/>
          <w:szCs w:val="18"/>
        </w:rPr>
      </w:pPr>
    </w:p>
    <w:p w:rsidR="00DE641D" w:rsidRPr="007A2638" w:rsidRDefault="00DE641D" w:rsidP="00B87ED7">
      <w:pPr>
        <w:pStyle w:val="Brdtext22"/>
        <w:ind w:left="0"/>
        <w:rPr>
          <w:color w:val="auto"/>
        </w:rPr>
      </w:pPr>
      <w:r w:rsidRPr="007A2638">
        <w:rPr>
          <w:color w:val="auto"/>
          <w:position w:val="-10"/>
        </w:rPr>
        <w:object w:dxaOrig="10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15pt" o:ole="">
            <v:imagedata r:id="rId8" o:title=""/>
          </v:shape>
          <o:OLEObject Type="Embed" ProgID="Equation.3" ShapeID="_x0000_i1025" DrawAspect="Content" ObjectID="_1344317313" r:id="rId9"/>
        </w:object>
      </w:r>
      <w:r w:rsidRPr="007A2638">
        <w:rPr>
          <w:color w:val="auto"/>
        </w:rPr>
        <w:t xml:space="preserve">  </w:t>
      </w:r>
    </w:p>
    <w:p w:rsidR="00DE641D" w:rsidRPr="00EF7A1B" w:rsidRDefault="00DE641D" w:rsidP="00DE641D">
      <w:pPr>
        <w:pStyle w:val="Brdtext22"/>
        <w:rPr>
          <w:color w:val="auto"/>
          <w:sz w:val="18"/>
          <w:szCs w:val="18"/>
        </w:rPr>
      </w:pPr>
    </w:p>
    <w:p w:rsidR="00DE641D" w:rsidRPr="007A2638" w:rsidRDefault="00DE641D" w:rsidP="00B87ED7">
      <w:pPr>
        <w:pStyle w:val="Brdtext22"/>
        <w:tabs>
          <w:tab w:val="left" w:pos="426"/>
        </w:tabs>
        <w:ind w:left="0"/>
        <w:rPr>
          <w:color w:val="auto"/>
        </w:rPr>
      </w:pPr>
      <w:r w:rsidRPr="007A2638">
        <w:rPr>
          <w:color w:val="auto"/>
        </w:rPr>
        <w:t xml:space="preserve">där  </w:t>
      </w:r>
      <w:r w:rsidRPr="007A2638">
        <w:rPr>
          <w:color w:val="auto"/>
        </w:rPr>
        <w:tab/>
        <w:t>w</w:t>
      </w:r>
      <w:r w:rsidRPr="007A2638">
        <w:rPr>
          <w:color w:val="auto"/>
          <w:vertAlign w:val="subscript"/>
        </w:rPr>
        <w:t xml:space="preserve">k </w:t>
      </w:r>
      <w:r w:rsidRPr="007A2638">
        <w:rPr>
          <w:color w:val="auto"/>
        </w:rPr>
        <w:t>= den totala vikten för objekt k</w:t>
      </w:r>
    </w:p>
    <w:p w:rsidR="00DE641D" w:rsidRPr="007A2638" w:rsidRDefault="00B87ED7" w:rsidP="00DE641D">
      <w:pPr>
        <w:pStyle w:val="Brdtext22"/>
        <w:tabs>
          <w:tab w:val="left" w:pos="426"/>
        </w:tabs>
        <w:rPr>
          <w:color w:val="auto"/>
        </w:rPr>
      </w:pPr>
      <w:r>
        <w:rPr>
          <w:color w:val="auto"/>
        </w:rPr>
        <w:tab/>
      </w:r>
      <w:r w:rsidR="00DE641D" w:rsidRPr="007A2638">
        <w:rPr>
          <w:color w:val="auto"/>
        </w:rPr>
        <w:t>d</w:t>
      </w:r>
      <w:r w:rsidR="00DE641D" w:rsidRPr="007A2638">
        <w:rPr>
          <w:color w:val="auto"/>
          <w:vertAlign w:val="subscript"/>
        </w:rPr>
        <w:t>k</w:t>
      </w:r>
      <w:r w:rsidR="00DE641D" w:rsidRPr="007A2638">
        <w:rPr>
          <w:color w:val="auto"/>
        </w:rPr>
        <w:t>=designvikt</w:t>
      </w:r>
    </w:p>
    <w:p w:rsidR="00DE641D" w:rsidRPr="007A2638" w:rsidRDefault="00DE641D" w:rsidP="00DE641D">
      <w:pPr>
        <w:pStyle w:val="Brdtext22"/>
        <w:tabs>
          <w:tab w:val="left" w:pos="426"/>
        </w:tabs>
        <w:rPr>
          <w:color w:val="auto"/>
        </w:rPr>
      </w:pPr>
      <w:r w:rsidRPr="007A2638">
        <w:rPr>
          <w:color w:val="auto"/>
        </w:rPr>
        <w:tab/>
        <w:t>v</w:t>
      </w:r>
      <w:r w:rsidRPr="007A2638">
        <w:rPr>
          <w:color w:val="auto"/>
          <w:vertAlign w:val="subscript"/>
        </w:rPr>
        <w:t>k</w:t>
      </w:r>
      <w:r w:rsidRPr="007A2638">
        <w:rPr>
          <w:color w:val="auto"/>
        </w:rPr>
        <w:t>= kalibreringsvikt</w:t>
      </w:r>
    </w:p>
    <w:p w:rsidR="00DE641D" w:rsidRPr="00EF7A1B" w:rsidRDefault="00DE641D" w:rsidP="00DE641D">
      <w:pPr>
        <w:pStyle w:val="Brdtext"/>
        <w:rPr>
          <w:color w:val="auto"/>
          <w:szCs w:val="24"/>
        </w:rPr>
      </w:pPr>
    </w:p>
    <w:p w:rsidR="00DE641D" w:rsidRPr="00EF7A1B" w:rsidRDefault="00DE641D" w:rsidP="00DE641D">
      <w:pPr>
        <w:pStyle w:val="Brdtext"/>
        <w:rPr>
          <w:color w:val="auto"/>
        </w:rPr>
      </w:pPr>
      <w:r w:rsidRPr="00EF7A1B">
        <w:rPr>
          <w:color w:val="auto"/>
        </w:rPr>
        <w:t>Designvikten är den del av vikten som beror på urvalsdesignen. I denna undersökning är designvikten lika med 1 för alla i urvalet, eftersom det var en totalundersökning. I praktiken är det alltså bara kalibreringsvikten (v</w:t>
      </w:r>
      <w:r w:rsidRPr="00EF7A1B">
        <w:rPr>
          <w:color w:val="auto"/>
          <w:vertAlign w:val="subscript"/>
        </w:rPr>
        <w:t>k</w:t>
      </w:r>
      <w:r w:rsidRPr="00EF7A1B">
        <w:rPr>
          <w:color w:val="auto"/>
        </w:rPr>
        <w:t>) som används.</w:t>
      </w:r>
    </w:p>
    <w:p w:rsidR="00DE641D" w:rsidRPr="00EF7A1B" w:rsidRDefault="00DE641D" w:rsidP="00DE641D">
      <w:pPr>
        <w:pStyle w:val="Brdtext"/>
        <w:rPr>
          <w:color w:val="auto"/>
        </w:rPr>
      </w:pPr>
    </w:p>
    <w:p w:rsidR="00EC3EC1" w:rsidRDefault="00DE641D" w:rsidP="00DE641D">
      <w:pPr>
        <w:pStyle w:val="Brdtext"/>
        <w:rPr>
          <w:color w:val="auto"/>
        </w:rPr>
      </w:pPr>
      <w:r w:rsidRPr="00EF7A1B">
        <w:rPr>
          <w:color w:val="auto"/>
        </w:rPr>
        <w:t xml:space="preserve">Vid bortfall kan det vara så att vissa grupper av urvalet svarar i större utsträckning än övriga, t.ex. kan kvinnor svara i högre </w:t>
      </w:r>
      <w:r w:rsidR="00EC3EC1">
        <w:rPr>
          <w:color w:val="auto"/>
        </w:rPr>
        <w:t xml:space="preserve">grad </w:t>
      </w:r>
      <w:r w:rsidRPr="00EF7A1B">
        <w:rPr>
          <w:color w:val="auto"/>
        </w:rPr>
        <w:t>än män. Om de grupper som svarat i högre grad har en annan fördelning på undersöknings</w:t>
      </w:r>
      <w:r w:rsidR="00EC3EC1">
        <w:rPr>
          <w:color w:val="auto"/>
        </w:rPr>
        <w:softHyphen/>
      </w:r>
      <w:r w:rsidRPr="00EF7A1B">
        <w:rPr>
          <w:color w:val="auto"/>
        </w:rPr>
        <w:t xml:space="preserve">variablerna än övriga kan detta ha en snedvridande effekt på resultatet. För att kompensera för detta har kalibreringsvikter använts. </w:t>
      </w:r>
    </w:p>
    <w:p w:rsidR="00EC3EC1" w:rsidRDefault="00EC3EC1" w:rsidP="00DE641D">
      <w:pPr>
        <w:pStyle w:val="Brdtext"/>
        <w:rPr>
          <w:color w:val="auto"/>
        </w:rPr>
      </w:pPr>
    </w:p>
    <w:p w:rsidR="00DE641D" w:rsidRPr="00EF7A1B" w:rsidRDefault="00EC3EC1" w:rsidP="00DE641D">
      <w:pPr>
        <w:pStyle w:val="Brdtext"/>
        <w:rPr>
          <w:color w:val="auto"/>
        </w:rPr>
      </w:pPr>
      <w:r>
        <w:rPr>
          <w:color w:val="auto"/>
        </w:rPr>
        <w:t>F</w:t>
      </w:r>
      <w:r w:rsidR="00DE641D" w:rsidRPr="00EF7A1B">
        <w:rPr>
          <w:color w:val="auto"/>
        </w:rPr>
        <w:t>ör mer utförlig beskrivning av kalibre</w:t>
      </w:r>
      <w:r w:rsidR="00DE641D" w:rsidRPr="00EF7A1B">
        <w:rPr>
          <w:color w:val="auto"/>
        </w:rPr>
        <w:softHyphen/>
        <w:t>ringsestimatorn se Lundström och Särndal (2001):</w:t>
      </w:r>
      <w:r w:rsidR="00DE641D" w:rsidRPr="00EF7A1B">
        <w:rPr>
          <w:i/>
          <w:color w:val="auto"/>
        </w:rPr>
        <w:t xml:space="preserve"> Estimation in the Presence of Nonresponse and Frame Imperfections, Statistics Sweden.</w:t>
      </w:r>
    </w:p>
    <w:p w:rsidR="00DE641D" w:rsidRPr="00EF7A1B" w:rsidRDefault="00DE641D" w:rsidP="00DE641D">
      <w:pPr>
        <w:pStyle w:val="Brdtext"/>
        <w:rPr>
          <w:color w:val="auto"/>
          <w:szCs w:val="24"/>
        </w:rPr>
      </w:pPr>
    </w:p>
    <w:p w:rsidR="00DE641D" w:rsidRPr="00EF7A1B" w:rsidRDefault="00DE641D" w:rsidP="00DE641D">
      <w:pPr>
        <w:pStyle w:val="Brdtext"/>
        <w:rPr>
          <w:color w:val="auto"/>
        </w:rPr>
      </w:pPr>
      <w:r w:rsidRPr="00EF7A1B">
        <w:rPr>
          <w:color w:val="auto"/>
        </w:rPr>
        <w:t>För beräkning av skattningen av totaler används följande formel:</w:t>
      </w:r>
    </w:p>
    <w:p w:rsidR="00DE641D" w:rsidRPr="00EF7A1B" w:rsidRDefault="00DE641D" w:rsidP="00EC3EC1">
      <w:pPr>
        <w:pStyle w:val="Brdtext22"/>
        <w:ind w:left="0"/>
        <w:rPr>
          <w:color w:val="auto"/>
          <w:sz w:val="18"/>
          <w:szCs w:val="18"/>
        </w:rPr>
      </w:pPr>
    </w:p>
    <w:p w:rsidR="00DE641D" w:rsidRPr="00EF7A1B" w:rsidRDefault="00DE641D" w:rsidP="00EC3EC1">
      <w:pPr>
        <w:pStyle w:val="Brdtext22"/>
        <w:ind w:left="0"/>
        <w:rPr>
          <w:color w:val="auto"/>
        </w:rPr>
      </w:pPr>
      <w:r w:rsidRPr="00EF7A1B">
        <w:rPr>
          <w:color w:val="auto"/>
          <w:position w:val="-14"/>
        </w:rPr>
        <w:object w:dxaOrig="1160" w:dyaOrig="380">
          <v:shape id="_x0000_i1026" type="#_x0000_t75" style="width:57.75pt;height:18.75pt" o:ole="">
            <v:imagedata r:id="rId10" o:title=""/>
          </v:shape>
          <o:OLEObject Type="Embed" ProgID="Equation.3" ShapeID="_x0000_i1026" DrawAspect="Content" ObjectID="_1344317314" r:id="rId11"/>
        </w:object>
      </w:r>
    </w:p>
    <w:p w:rsidR="00DE641D" w:rsidRPr="00EF7A1B" w:rsidRDefault="00DE641D" w:rsidP="00EC3EC1">
      <w:pPr>
        <w:pStyle w:val="Brdtext22"/>
        <w:ind w:left="0"/>
        <w:rPr>
          <w:color w:val="auto"/>
          <w:sz w:val="18"/>
          <w:szCs w:val="18"/>
        </w:rPr>
      </w:pPr>
    </w:p>
    <w:p w:rsidR="00DE641D" w:rsidRPr="00EF7A1B" w:rsidRDefault="00DE641D" w:rsidP="00EC3EC1">
      <w:pPr>
        <w:pStyle w:val="Brdtext22"/>
        <w:tabs>
          <w:tab w:val="left" w:pos="426"/>
        </w:tabs>
        <w:ind w:left="0"/>
        <w:rPr>
          <w:color w:val="auto"/>
        </w:rPr>
      </w:pPr>
      <w:r w:rsidRPr="00EF7A1B">
        <w:rPr>
          <w:color w:val="auto"/>
        </w:rPr>
        <w:t xml:space="preserve">där </w:t>
      </w:r>
      <w:r w:rsidRPr="00EF7A1B">
        <w:rPr>
          <w:color w:val="auto"/>
        </w:rPr>
        <w:tab/>
        <w:t>w</w:t>
      </w:r>
      <w:r w:rsidRPr="00EF7A1B">
        <w:rPr>
          <w:color w:val="auto"/>
          <w:vertAlign w:val="subscript"/>
        </w:rPr>
        <w:t xml:space="preserve">k </w:t>
      </w:r>
      <w:r w:rsidRPr="00EF7A1B">
        <w:rPr>
          <w:color w:val="auto"/>
        </w:rPr>
        <w:t>= den totala vikten för objekt k</w:t>
      </w:r>
    </w:p>
    <w:p w:rsidR="00DE641D" w:rsidRPr="00EF7A1B" w:rsidRDefault="00DE641D" w:rsidP="00EC3EC1">
      <w:pPr>
        <w:pStyle w:val="Brdtext22"/>
        <w:tabs>
          <w:tab w:val="left" w:pos="426"/>
        </w:tabs>
        <w:ind w:left="0"/>
        <w:rPr>
          <w:color w:val="auto"/>
        </w:rPr>
      </w:pPr>
      <w:r w:rsidRPr="00EF7A1B">
        <w:rPr>
          <w:color w:val="auto"/>
        </w:rPr>
        <w:tab/>
      </w:r>
      <w:r w:rsidRPr="00EF7A1B">
        <w:rPr>
          <w:i/>
          <w:color w:val="auto"/>
        </w:rPr>
        <w:t>y</w:t>
      </w:r>
      <w:r w:rsidRPr="00EF7A1B">
        <w:rPr>
          <w:i/>
          <w:color w:val="auto"/>
          <w:vertAlign w:val="subscript"/>
        </w:rPr>
        <w:t xml:space="preserve">k  </w:t>
      </w:r>
      <w:r w:rsidRPr="00EF7A1B">
        <w:rPr>
          <w:i/>
          <w:color w:val="auto"/>
        </w:rPr>
        <w:t xml:space="preserve">= </w:t>
      </w:r>
      <w:r w:rsidRPr="00EF7A1B">
        <w:rPr>
          <w:color w:val="auto"/>
        </w:rPr>
        <w:t>variabelvärde för objekt k</w:t>
      </w:r>
    </w:p>
    <w:p w:rsidR="00DE641D" w:rsidRPr="00EF7A1B" w:rsidRDefault="00DE641D" w:rsidP="00EC3EC1">
      <w:pPr>
        <w:pStyle w:val="Brdtext22"/>
        <w:tabs>
          <w:tab w:val="left" w:pos="426"/>
        </w:tabs>
        <w:ind w:left="0"/>
        <w:rPr>
          <w:color w:val="auto"/>
        </w:rPr>
      </w:pPr>
    </w:p>
    <w:p w:rsidR="00DE641D" w:rsidRPr="00EF7A1B" w:rsidRDefault="00DE641D" w:rsidP="00EC3EC1">
      <w:pPr>
        <w:pStyle w:val="Brdtext22"/>
        <w:tabs>
          <w:tab w:val="left" w:pos="426"/>
        </w:tabs>
        <w:ind w:left="0"/>
        <w:rPr>
          <w:color w:val="auto"/>
        </w:rPr>
      </w:pPr>
      <w:r w:rsidRPr="00EF7A1B">
        <w:rPr>
          <w:color w:val="auto"/>
        </w:rPr>
        <w:t>summering sker av de svarande (r)</w:t>
      </w:r>
    </w:p>
    <w:p w:rsidR="00DE641D" w:rsidRPr="00EF7A1B" w:rsidRDefault="00DE641D" w:rsidP="00DE641D">
      <w:pPr>
        <w:pStyle w:val="Brdtext"/>
        <w:rPr>
          <w:color w:val="auto"/>
          <w:szCs w:val="24"/>
        </w:rPr>
      </w:pPr>
    </w:p>
    <w:p w:rsidR="00DE641D" w:rsidRPr="00EF7A1B" w:rsidRDefault="00DE641D" w:rsidP="00DE641D">
      <w:pPr>
        <w:pStyle w:val="Brdtext"/>
        <w:rPr>
          <w:color w:val="auto"/>
        </w:rPr>
      </w:pPr>
      <w:r w:rsidRPr="00EF7A1B">
        <w:rPr>
          <w:color w:val="auto"/>
        </w:rPr>
        <w:t>Och för beräkning av skattningen av medelvärden används följande formel:</w:t>
      </w:r>
    </w:p>
    <w:p w:rsidR="00DE641D" w:rsidRPr="00EF7A1B" w:rsidRDefault="00DE641D" w:rsidP="00DE641D">
      <w:pPr>
        <w:pStyle w:val="Brdtext22"/>
        <w:rPr>
          <w:color w:val="auto"/>
        </w:rPr>
      </w:pPr>
    </w:p>
    <w:p w:rsidR="00DE641D" w:rsidRPr="00EF7A1B" w:rsidRDefault="00DE641D" w:rsidP="00EC3EC1">
      <w:pPr>
        <w:pStyle w:val="Brdtext22"/>
        <w:ind w:left="0"/>
        <w:rPr>
          <w:color w:val="auto"/>
        </w:rPr>
      </w:pPr>
      <w:r w:rsidRPr="00EF7A1B">
        <w:rPr>
          <w:color w:val="auto"/>
          <w:position w:val="-30"/>
        </w:rPr>
        <w:object w:dxaOrig="1200" w:dyaOrig="680">
          <v:shape id="_x0000_i1027" type="#_x0000_t75" style="width:60pt;height:33.75pt" o:ole="">
            <v:imagedata r:id="rId12" o:title=""/>
          </v:shape>
          <o:OLEObject Type="Embed" ProgID="Equation.3" ShapeID="_x0000_i1027" DrawAspect="Content" ObjectID="_1344317315" r:id="rId13"/>
        </w:object>
      </w:r>
    </w:p>
    <w:p w:rsidR="00EC3EC1" w:rsidRDefault="00EC3EC1" w:rsidP="00EC3EC1">
      <w:pPr>
        <w:pStyle w:val="Brdtext22"/>
        <w:ind w:left="0"/>
        <w:rPr>
          <w:color w:val="auto"/>
        </w:rPr>
      </w:pPr>
    </w:p>
    <w:p w:rsidR="00DE641D" w:rsidRPr="00EF7A1B" w:rsidRDefault="00EC3EC1" w:rsidP="00EC3EC1">
      <w:pPr>
        <w:pStyle w:val="Brdtext22"/>
        <w:ind w:left="0"/>
        <w:rPr>
          <w:color w:val="auto"/>
        </w:rPr>
      </w:pPr>
      <w:r>
        <w:rPr>
          <w:color w:val="auto"/>
        </w:rPr>
        <w:t>d</w:t>
      </w:r>
      <w:r w:rsidR="00DE641D" w:rsidRPr="00EF7A1B">
        <w:rPr>
          <w:color w:val="auto"/>
        </w:rPr>
        <w:t>är</w:t>
      </w:r>
      <w:r>
        <w:rPr>
          <w:color w:val="auto"/>
        </w:rPr>
        <w:tab/>
      </w:r>
      <w:r w:rsidR="00DE641D" w:rsidRPr="00EF7A1B">
        <w:rPr>
          <w:color w:val="auto"/>
        </w:rPr>
        <w:t>w</w:t>
      </w:r>
      <w:r w:rsidR="00DE641D" w:rsidRPr="00EF7A1B">
        <w:rPr>
          <w:color w:val="auto"/>
          <w:vertAlign w:val="subscript"/>
        </w:rPr>
        <w:t xml:space="preserve">k </w:t>
      </w:r>
      <w:r w:rsidR="00DE641D" w:rsidRPr="00EF7A1B">
        <w:rPr>
          <w:color w:val="auto"/>
        </w:rPr>
        <w:t>= den totala vikten för objekt k</w:t>
      </w:r>
    </w:p>
    <w:p w:rsidR="00DE641D" w:rsidRPr="00EF7A1B" w:rsidRDefault="00DE641D" w:rsidP="00DE641D">
      <w:pPr>
        <w:pStyle w:val="Brdtext22"/>
        <w:rPr>
          <w:color w:val="auto"/>
        </w:rPr>
      </w:pPr>
      <w:r w:rsidRPr="00EF7A1B">
        <w:rPr>
          <w:i/>
          <w:color w:val="auto"/>
        </w:rPr>
        <w:t>y</w:t>
      </w:r>
      <w:r w:rsidRPr="00EF7A1B">
        <w:rPr>
          <w:i/>
          <w:color w:val="auto"/>
          <w:vertAlign w:val="subscript"/>
        </w:rPr>
        <w:t xml:space="preserve">k  </w:t>
      </w:r>
      <w:r w:rsidRPr="00EF7A1B">
        <w:rPr>
          <w:i/>
          <w:color w:val="auto"/>
        </w:rPr>
        <w:t xml:space="preserve">= </w:t>
      </w:r>
      <w:r w:rsidRPr="00EF7A1B">
        <w:rPr>
          <w:color w:val="auto"/>
        </w:rPr>
        <w:t>variabelvärde för objekt k</w:t>
      </w:r>
    </w:p>
    <w:p w:rsidR="00DE641D" w:rsidRPr="00EF7A1B" w:rsidRDefault="00DE641D" w:rsidP="00DE641D">
      <w:pPr>
        <w:pStyle w:val="Brdtext22"/>
        <w:tabs>
          <w:tab w:val="left" w:pos="709"/>
          <w:tab w:val="left" w:pos="851"/>
        </w:tabs>
        <w:rPr>
          <w:color w:val="auto"/>
        </w:rPr>
      </w:pPr>
    </w:p>
    <w:p w:rsidR="00DE641D" w:rsidRPr="00EF7A1B" w:rsidRDefault="00DE641D" w:rsidP="00DE641D">
      <w:pPr>
        <w:pStyle w:val="Brdtext"/>
        <w:rPr>
          <w:color w:val="auto"/>
        </w:rPr>
      </w:pPr>
      <w:r w:rsidRPr="00EF7A1B">
        <w:rPr>
          <w:color w:val="auto"/>
        </w:rPr>
        <w:t>Kalibreringen och de tabeller som presenteras i denna rapport har tagits fram enligt de formler som presenterats ovan med hjälp av SAS</w:t>
      </w:r>
      <w:r w:rsidR="00EC3EC1">
        <w:rPr>
          <w:color w:val="auto"/>
        </w:rPr>
        <w:t xml:space="preserve"> och variansprogrammet ETOS</w:t>
      </w:r>
      <w:r w:rsidRPr="00EF7A1B">
        <w:rPr>
          <w:color w:val="auto"/>
        </w:rPr>
        <w:t>.</w:t>
      </w:r>
    </w:p>
    <w:p w:rsidR="00EC3EC1" w:rsidRDefault="00EC3EC1">
      <w:pPr>
        <w:overflowPunct/>
        <w:autoSpaceDE/>
        <w:autoSpaceDN/>
        <w:adjustRightInd/>
        <w:textAlignment w:val="auto"/>
      </w:pPr>
      <w:r>
        <w:br w:type="page"/>
      </w:r>
    </w:p>
    <w:p w:rsidR="00DE641D" w:rsidRPr="00F82F13" w:rsidRDefault="00DE641D" w:rsidP="00DE641D">
      <w:pPr>
        <w:pStyle w:val="Rubrik2"/>
      </w:pPr>
      <w:r w:rsidRPr="00F82F13">
        <w:lastRenderedPageBreak/>
        <w:t>Tabellerna</w:t>
      </w:r>
    </w:p>
    <w:p w:rsidR="00DE641D" w:rsidRPr="00F82F13" w:rsidRDefault="00DE641D" w:rsidP="00DE641D">
      <w:r w:rsidRPr="00F82F13">
        <w:t>Tabellerna har räknats upp till populationsnivå, vilket innebär att resultatet avser hela populationen och inte bara de svarande. Antalsuppgifterna är således skattningar av antal personer i populationen med den aktuella egenskapen. Att det uppräknade antalet individer är olika för olika frågor beror på hoppinstruktioner då olika delpopulationer avses. För de följdfrågor som föregås av hoppinstruktioner har selekteringar genomförts vid tabellframställandet.</w:t>
      </w:r>
    </w:p>
    <w:p w:rsidR="00DE641D" w:rsidRDefault="00DE641D" w:rsidP="00DE641D"/>
    <w:p w:rsidR="006E2CE5" w:rsidRDefault="006E2CE5" w:rsidP="00DE641D">
      <w:r>
        <w:t>Om en följdfråga är besvarad men dess styrfråga inte är besvarad och svaret på följdfrågan göt att ett visst svarsalternativ på styrfrågan är självklar så har hänsyn till detta tagits vid tabellframställningen.</w:t>
      </w:r>
    </w:p>
    <w:p w:rsidR="006E2CE5" w:rsidRDefault="006E2CE5" w:rsidP="00DE641D"/>
    <w:p w:rsidR="006E2CE5" w:rsidRDefault="006E2CE5" w:rsidP="00DE641D">
      <w:r>
        <w:t>I andelstabellerna är värdena avrundade till närmaste heltal och värden under 0,5 är därmed avrundade till noll.</w:t>
      </w:r>
    </w:p>
    <w:p w:rsidR="006E2CE5" w:rsidRDefault="006E2CE5" w:rsidP="00DE641D"/>
    <w:p w:rsidR="00DE641D" w:rsidRDefault="006E2CE5" w:rsidP="00DE641D">
      <w:r>
        <w:t xml:space="preserve">Tabellerna har sekretessgranskats så att celler som bygger på färre än två svar har prickats. Mycket osäkra skattningar, </w:t>
      </w:r>
      <w:r w:rsidR="00DE641D" w:rsidRPr="00F82F13">
        <w:t>där konfidensintervall</w:t>
      </w:r>
      <w:r>
        <w:t>et är större än andelsskattningen, har också prickats.</w:t>
      </w:r>
    </w:p>
    <w:p w:rsidR="00DE641D" w:rsidRDefault="00DE641D" w:rsidP="00DE641D"/>
    <w:p w:rsidR="006E2CE5" w:rsidRDefault="006E2CE5" w:rsidP="00DE641D">
      <w:r>
        <w:t>De tabeller som presenteras i denna rapport har tagits fram enligt de formler som presenteras i avsnitt ”Viktberäkning och estimation” med hjälp av SAS och variansprogrammet ETOS.</w:t>
      </w:r>
    </w:p>
    <w:p w:rsidR="006E2CE5" w:rsidRDefault="006E2CE5" w:rsidP="00DE641D"/>
    <w:p w:rsidR="00DE641D" w:rsidRPr="00F82F13" w:rsidRDefault="006E2CE5" w:rsidP="00DE641D">
      <w:r>
        <w:t>Högskoleingenjörsutbildningen data</w:t>
      </w:r>
      <w:r w:rsidR="00DE641D" w:rsidRPr="00F82F13">
        <w:t xml:space="preserve">teknik </w:t>
      </w:r>
      <w:r>
        <w:t xml:space="preserve">och ekonom/hälsa </w:t>
      </w:r>
      <w:r w:rsidR="00DE641D">
        <w:t xml:space="preserve">ingår i tabellerna </w:t>
      </w:r>
      <w:r>
        <w:t xml:space="preserve">men baseras endast på tre </w:t>
      </w:r>
      <w:r w:rsidR="00AB7D63">
        <w:t xml:space="preserve">svarande av ett </w:t>
      </w:r>
      <w:r w:rsidR="00DE641D">
        <w:t xml:space="preserve">sammanlagt urval på </w:t>
      </w:r>
      <w:r w:rsidR="00AB7D63">
        <w:t>fem</w:t>
      </w:r>
      <w:r w:rsidR="00DE641D">
        <w:t xml:space="preserve"> personer från de </w:t>
      </w:r>
      <w:r w:rsidR="00AB7D63">
        <w:t>två</w:t>
      </w:r>
      <w:r w:rsidR="00DE641D">
        <w:t xml:space="preserve"> programmen.</w:t>
      </w:r>
    </w:p>
    <w:p w:rsidR="00DE641D" w:rsidRPr="006F01E3" w:rsidRDefault="00DE641D" w:rsidP="00DE641D"/>
    <w:p w:rsidR="00DE641D" w:rsidRPr="006F01E3" w:rsidRDefault="00DE641D" w:rsidP="00DE641D">
      <w:pPr>
        <w:pStyle w:val="Rubrik2"/>
      </w:pPr>
      <w:r w:rsidRPr="006F01E3">
        <w:t xml:space="preserve">Kvalitet </w:t>
      </w:r>
    </w:p>
    <w:p w:rsidR="00DE641D" w:rsidRPr="006F01E3" w:rsidRDefault="00DE641D" w:rsidP="00DE641D">
      <w:pPr>
        <w:pStyle w:val="Brdtext"/>
        <w:rPr>
          <w:color w:val="auto"/>
        </w:rPr>
      </w:pPr>
      <w:r w:rsidRPr="006F01E3">
        <w:rPr>
          <w:color w:val="auto"/>
        </w:rPr>
        <w:t xml:space="preserve">SCB tillämpar en bred definition på kvalitet. För att hålla en hög kvalitet och täcka kvalitetsdimensionerna används kontroller i undersökningens olika faser, allt från kundkontakter till dokumentation och uppföljning. I SCB MIS 2001:1 ”Kvalitetsbegrepp och riktlinjer för kvalitetsdeklaration av officiell statistik” ges en ingående beskrivning av SCB:s kvalitetsbegrepp och de olika kvalitetskomponenterna. Nedan beskrivs de begrepp som har betydelse för denna undersökning. </w:t>
      </w:r>
    </w:p>
    <w:p w:rsidR="003B14FC" w:rsidRDefault="003B14FC">
      <w:pPr>
        <w:overflowPunct/>
        <w:autoSpaceDE/>
        <w:autoSpaceDN/>
        <w:adjustRightInd/>
        <w:textAlignment w:val="auto"/>
      </w:pPr>
      <w:r>
        <w:br w:type="page"/>
      </w:r>
    </w:p>
    <w:p w:rsidR="00DE641D" w:rsidRPr="006F01E3" w:rsidRDefault="00DE641D" w:rsidP="00DE641D">
      <w:pPr>
        <w:rPr>
          <w:b/>
        </w:rPr>
      </w:pPr>
      <w:r w:rsidRPr="006F01E3">
        <w:rPr>
          <w:rFonts w:ascii="Arial" w:hAnsi="Arial"/>
          <w:b/>
        </w:rPr>
        <w:lastRenderedPageBreak/>
        <w:t>Innehåll</w:t>
      </w:r>
    </w:p>
    <w:p w:rsidR="00DE641D" w:rsidRPr="006F01E3" w:rsidRDefault="00DE641D" w:rsidP="00DE641D">
      <w:pPr>
        <w:pStyle w:val="Rubrik2"/>
        <w:rPr>
          <w:rFonts w:ascii="Times New Roman" w:hAnsi="Times New Roman"/>
        </w:rPr>
      </w:pPr>
      <w:r w:rsidRPr="006F01E3">
        <w:rPr>
          <w:rFonts w:ascii="Times New Roman" w:hAnsi="Times New Roman"/>
        </w:rPr>
        <w:t xml:space="preserve">Statistiska mått </w:t>
      </w:r>
    </w:p>
    <w:p w:rsidR="00DE641D" w:rsidRPr="006F01E3" w:rsidRDefault="003B14FC" w:rsidP="00DE641D">
      <w:pPr>
        <w:spacing w:line="240" w:lineRule="atLeast"/>
      </w:pPr>
      <w:r>
        <w:t xml:space="preserve">Materialet lämpar sig bäst att redovisas som totaler eller procentuella andelar för hela </w:t>
      </w:r>
      <w:r w:rsidR="00DE641D" w:rsidRPr="006F01E3">
        <w:t>målpopulationen och fördelat på olika redovisningsgrupper</w:t>
      </w:r>
      <w:r>
        <w:t xml:space="preserve">. </w:t>
      </w:r>
    </w:p>
    <w:p w:rsidR="00DE641D" w:rsidRPr="006F01E3" w:rsidRDefault="00DE641D" w:rsidP="00DE641D"/>
    <w:p w:rsidR="00DE641D" w:rsidRPr="006F01E3" w:rsidRDefault="00DE641D" w:rsidP="00DE641D">
      <w:pPr>
        <w:pStyle w:val="Rubrik2"/>
        <w:rPr>
          <w:rFonts w:ascii="Times New Roman" w:hAnsi="Times New Roman"/>
        </w:rPr>
      </w:pPr>
      <w:r w:rsidRPr="006F01E3">
        <w:rPr>
          <w:rFonts w:ascii="Times New Roman" w:hAnsi="Times New Roman"/>
        </w:rPr>
        <w:t>Redovisningsgrupper</w:t>
      </w:r>
    </w:p>
    <w:p w:rsidR="00DE641D" w:rsidRPr="006F01E3" w:rsidRDefault="003B14FC" w:rsidP="00DE641D">
      <w:r>
        <w:t xml:space="preserve">Ofta redovisas statistiken inte bara för hela populationen utan också för delgrupper (redovisningsgrupper). </w:t>
      </w:r>
      <w:r w:rsidR="00DE641D" w:rsidRPr="006F01E3">
        <w:t xml:space="preserve">Redovisningsgrupperna </w:t>
      </w:r>
      <w:r>
        <w:t>i den här undersökningen har avgränsats med hjälp av registervariabler</w:t>
      </w:r>
      <w:r w:rsidR="00DE641D" w:rsidRPr="006F01E3">
        <w:t xml:space="preserve"> (kön, ålder, program, skola) eller enkätfrågor (modersmål</w:t>
      </w:r>
      <w:r>
        <w:t xml:space="preserve"> (fråga 2) och</w:t>
      </w:r>
      <w:r w:rsidR="00DE641D" w:rsidRPr="006F01E3">
        <w:t xml:space="preserve"> föräldrars </w:t>
      </w:r>
      <w:r w:rsidR="00285734">
        <w:t>högskole- eller universitets</w:t>
      </w:r>
      <w:r w:rsidR="00DE641D" w:rsidRPr="006F01E3">
        <w:t>utbildning</w:t>
      </w:r>
      <w:r>
        <w:t xml:space="preserve"> (fråga 3)</w:t>
      </w:r>
      <w:r w:rsidR="00DE641D" w:rsidRPr="006F01E3">
        <w:t>).</w:t>
      </w:r>
    </w:p>
    <w:p w:rsidR="00DE641D" w:rsidRPr="00BB6DBA" w:rsidRDefault="00DE641D" w:rsidP="00DE641D"/>
    <w:p w:rsidR="00DE641D" w:rsidRPr="00BB6DBA" w:rsidRDefault="00DE641D" w:rsidP="00DE641D">
      <w:pPr>
        <w:pStyle w:val="Rubrik2"/>
        <w:rPr>
          <w:rFonts w:ascii="Times New Roman" w:hAnsi="Times New Roman"/>
        </w:rPr>
      </w:pPr>
      <w:r w:rsidRPr="00BB6DBA">
        <w:rPr>
          <w:rFonts w:ascii="Times New Roman" w:hAnsi="Times New Roman"/>
        </w:rPr>
        <w:t>Referenstider</w:t>
      </w:r>
    </w:p>
    <w:p w:rsidR="00DE641D" w:rsidRPr="00BB6DBA" w:rsidRDefault="00DE641D" w:rsidP="00DE641D">
      <w:pPr>
        <w:pStyle w:val="Brdtext"/>
        <w:rPr>
          <w:color w:val="auto"/>
        </w:rPr>
      </w:pPr>
      <w:r w:rsidRPr="00BB6DBA">
        <w:rPr>
          <w:color w:val="auto"/>
        </w:rPr>
        <w:t>Referensperioden (mätperioden) i undersökningen varierar mellan olika frågor, t.ex. vårterminen 20</w:t>
      </w:r>
      <w:r w:rsidR="00B66B1B">
        <w:rPr>
          <w:color w:val="auto"/>
        </w:rPr>
        <w:t>1</w:t>
      </w:r>
      <w:r w:rsidRPr="00BB6DBA">
        <w:rPr>
          <w:color w:val="auto"/>
        </w:rPr>
        <w:t>0 och ”de senaste 6 månaderna”. För objekten (studenterna) är referensperioden vårterminen 20</w:t>
      </w:r>
      <w:r w:rsidR="00B66B1B">
        <w:rPr>
          <w:color w:val="auto"/>
        </w:rPr>
        <w:t>1</w:t>
      </w:r>
      <w:r w:rsidRPr="00BB6DBA">
        <w:rPr>
          <w:color w:val="auto"/>
        </w:rPr>
        <w:t>0.</w:t>
      </w:r>
    </w:p>
    <w:p w:rsidR="00DE641D" w:rsidRPr="00C1214C" w:rsidRDefault="00DE641D" w:rsidP="00DE641D">
      <w:pPr>
        <w:pStyle w:val="Brdtext"/>
        <w:rPr>
          <w:color w:val="auto"/>
        </w:rPr>
      </w:pPr>
    </w:p>
    <w:p w:rsidR="00DE641D" w:rsidRPr="00C1214C" w:rsidRDefault="00DE641D" w:rsidP="00DE641D">
      <w:pPr>
        <w:pStyle w:val="Rubrik2"/>
        <w:rPr>
          <w:i/>
        </w:rPr>
      </w:pPr>
      <w:r w:rsidRPr="00C1214C">
        <w:t xml:space="preserve">Tillförlitlighet </w:t>
      </w:r>
    </w:p>
    <w:p w:rsidR="00DE641D" w:rsidRPr="00C1214C" w:rsidRDefault="00DE641D" w:rsidP="00DE641D">
      <w:pPr>
        <w:pStyle w:val="Rubrik2"/>
        <w:rPr>
          <w:rFonts w:ascii="Times New Roman" w:hAnsi="Times New Roman"/>
          <w:i/>
        </w:rPr>
      </w:pPr>
      <w:r w:rsidRPr="00C1214C">
        <w:rPr>
          <w:rFonts w:ascii="Times New Roman" w:hAnsi="Times New Roman"/>
        </w:rPr>
        <w:t>Ramtäckning</w:t>
      </w:r>
    </w:p>
    <w:p w:rsidR="00DE641D" w:rsidRPr="00C1214C" w:rsidRDefault="00DE641D" w:rsidP="00DE641D">
      <w:pPr>
        <w:pStyle w:val="Brdtext"/>
        <w:rPr>
          <w:color w:val="auto"/>
        </w:rPr>
      </w:pPr>
      <w:r w:rsidRPr="00C1214C">
        <w:rPr>
          <w:color w:val="auto"/>
        </w:rPr>
        <w:t>Täckningsfel, under- och övertäckning, innebär att urvalsram och population inte helt stämmer överens. Undertäckning innebär att vissa enheter som ingår i populationen saknas i urvalsramen. Övertäckning innebär att enheter som inte ingår i populationen ändå finns i urvalsramen. Ett sätt att minska täck</w:t>
      </w:r>
      <w:r w:rsidRPr="00C1214C">
        <w:rPr>
          <w:color w:val="auto"/>
        </w:rPr>
        <w:softHyphen/>
        <w:t>ningsfelen är att ha bra och uppdaterade register. KTH:s register bedöms vara av god kvalitet.</w:t>
      </w:r>
    </w:p>
    <w:p w:rsidR="00DE641D" w:rsidRPr="00C1214C" w:rsidRDefault="00DE641D" w:rsidP="00DE641D">
      <w:pPr>
        <w:pStyle w:val="Brdtext"/>
        <w:rPr>
          <w:color w:val="auto"/>
        </w:rPr>
      </w:pPr>
    </w:p>
    <w:p w:rsidR="00DE641D" w:rsidRPr="00F034BB" w:rsidRDefault="00DE641D" w:rsidP="00DE641D">
      <w:pPr>
        <w:pStyle w:val="Rubrik2"/>
        <w:rPr>
          <w:rFonts w:ascii="Times New Roman" w:hAnsi="Times New Roman"/>
          <w:i/>
        </w:rPr>
      </w:pPr>
      <w:r w:rsidRPr="00F034BB">
        <w:rPr>
          <w:rFonts w:ascii="Times New Roman" w:hAnsi="Times New Roman"/>
        </w:rPr>
        <w:t>Urval</w:t>
      </w:r>
    </w:p>
    <w:p w:rsidR="00DE641D" w:rsidRPr="00F034BB" w:rsidRDefault="00DE641D" w:rsidP="00DE641D">
      <w:pPr>
        <w:pStyle w:val="Brdtext"/>
        <w:rPr>
          <w:color w:val="auto"/>
        </w:rPr>
      </w:pPr>
      <w:r w:rsidRPr="00F034BB">
        <w:rPr>
          <w:color w:val="auto"/>
        </w:rPr>
        <w:t>Det gjorde</w:t>
      </w:r>
      <w:r w:rsidR="00B919EC">
        <w:rPr>
          <w:color w:val="auto"/>
        </w:rPr>
        <w:t>s en totalundersökning, vilket</w:t>
      </w:r>
      <w:r w:rsidRPr="00F034BB">
        <w:rPr>
          <w:color w:val="auto"/>
        </w:rPr>
        <w:t xml:space="preserve"> inte ger något urvalsfel. SCB har ändå valt att presentera osäkerhetsmått i form av konfidensintervall, för att visa att det finns osäkerhet i skattningarna. I de konfidensintervall (de urvalsosäkerheter) som redovisas utgörs urvalet av de svarande </w:t>
      </w:r>
      <w:r>
        <w:rPr>
          <w:color w:val="auto"/>
        </w:rPr>
        <w:t>– so</w:t>
      </w:r>
      <w:r w:rsidRPr="00F034BB">
        <w:rPr>
          <w:color w:val="auto"/>
        </w:rPr>
        <w:t>m inte är slumpmässigt utvalda, vilket i teorin är en förutsättning.</w:t>
      </w:r>
    </w:p>
    <w:p w:rsidR="00DE641D" w:rsidRPr="00223F0D" w:rsidRDefault="00DE641D" w:rsidP="00DE641D">
      <w:pPr>
        <w:pStyle w:val="Brdtext"/>
        <w:rPr>
          <w:color w:val="auto"/>
        </w:rPr>
      </w:pPr>
    </w:p>
    <w:p w:rsidR="00DE641D" w:rsidRPr="00223F0D" w:rsidRDefault="00DE641D" w:rsidP="00DE641D">
      <w:pPr>
        <w:pStyle w:val="Rubrik2"/>
        <w:rPr>
          <w:rFonts w:ascii="Times New Roman" w:hAnsi="Times New Roman"/>
          <w:i/>
        </w:rPr>
      </w:pPr>
      <w:r w:rsidRPr="00223F0D">
        <w:rPr>
          <w:rFonts w:ascii="Times New Roman" w:hAnsi="Times New Roman"/>
        </w:rPr>
        <w:t>Mätning</w:t>
      </w:r>
    </w:p>
    <w:p w:rsidR="00DE641D" w:rsidRPr="00223F0D" w:rsidRDefault="00DE641D" w:rsidP="00DE641D">
      <w:pPr>
        <w:pStyle w:val="Brdtext"/>
        <w:rPr>
          <w:color w:val="auto"/>
        </w:rPr>
      </w:pPr>
      <w:r w:rsidRPr="00223F0D">
        <w:rPr>
          <w:color w:val="auto"/>
        </w:rPr>
        <w:t>Ett fel som kan uppstå vid mätning är att lämnade uppgifter skiljer sig från faktiska uppgifter. Felet kallas mätfel och kan uppkomma då respondenten inte minns de faktiska uppgifterna, missförstår frågan eller medvetet svarar felaktigt. För att försöka minimera mätfelen har kontroller genomförts, t.ex. kontroll av konsistens mellan olika frågor. Mätfelen för registervariabler som hämtats från KTH är okänt för SCB, men har antagits vara små.</w:t>
      </w:r>
    </w:p>
    <w:p w:rsidR="00DE641D" w:rsidRPr="00223F0D" w:rsidRDefault="00DE641D" w:rsidP="00DE641D">
      <w:pPr>
        <w:pStyle w:val="Brdtext"/>
        <w:rPr>
          <w:color w:val="auto"/>
        </w:rPr>
      </w:pPr>
    </w:p>
    <w:p w:rsidR="00DE641D" w:rsidRPr="00223F0D" w:rsidRDefault="00DE641D" w:rsidP="00DE641D">
      <w:pPr>
        <w:pStyle w:val="Rubrik2"/>
        <w:rPr>
          <w:rFonts w:ascii="Times New Roman" w:hAnsi="Times New Roman"/>
        </w:rPr>
      </w:pPr>
      <w:r w:rsidRPr="00223F0D">
        <w:rPr>
          <w:rFonts w:ascii="Times New Roman" w:hAnsi="Times New Roman"/>
        </w:rPr>
        <w:lastRenderedPageBreak/>
        <w:t>Bearbetning</w:t>
      </w:r>
    </w:p>
    <w:p w:rsidR="00DE641D" w:rsidRPr="00223F0D" w:rsidRDefault="00DE641D" w:rsidP="00DE641D">
      <w:pPr>
        <w:pStyle w:val="Brdtext"/>
        <w:rPr>
          <w:color w:val="auto"/>
        </w:rPr>
      </w:pPr>
      <w:r w:rsidRPr="00223F0D">
        <w:rPr>
          <w:color w:val="auto"/>
        </w:rPr>
        <w:t>Vid den manuella och maskinella bearbetningen av datamaterialet kan så kallade bearbetningsfel uppstå. Exempel på bearbetningsfel är registrerings</w:t>
      </w:r>
      <w:r w:rsidR="00B919EC">
        <w:rPr>
          <w:color w:val="auto"/>
        </w:rPr>
        <w:softHyphen/>
      </w:r>
      <w:r w:rsidRPr="00223F0D">
        <w:rPr>
          <w:color w:val="auto"/>
        </w:rPr>
        <w:t>fel och kodningsfel. Risken för registreringsfel är större för öppna frågor än för dem med fasta svarsalternativ. Kontroller, s.k. verifiering, genomfördes vid dataregistreringen för att minimera felaktigt tolkade svar.</w:t>
      </w:r>
      <w:r w:rsidR="00B919EC">
        <w:rPr>
          <w:color w:val="auto"/>
        </w:rPr>
        <w:t xml:space="preserve"> I den här undersökningen bedöms registreringsfel vara försumbara. </w:t>
      </w:r>
      <w:r w:rsidRPr="00223F0D">
        <w:rPr>
          <w:color w:val="auto"/>
        </w:rPr>
        <w:t>Kodning förekom inte.</w:t>
      </w:r>
    </w:p>
    <w:p w:rsidR="00DE641D" w:rsidRPr="00A37737" w:rsidRDefault="00DE641D" w:rsidP="00DE641D">
      <w:pPr>
        <w:pStyle w:val="Brdtext"/>
        <w:rPr>
          <w:color w:val="auto"/>
        </w:rPr>
      </w:pPr>
    </w:p>
    <w:p w:rsidR="00DE641D" w:rsidRPr="00A37737" w:rsidRDefault="00DE641D" w:rsidP="00DE641D">
      <w:pPr>
        <w:pStyle w:val="Rubrik2"/>
        <w:rPr>
          <w:rFonts w:ascii="Times New Roman" w:hAnsi="Times New Roman"/>
          <w:i/>
        </w:rPr>
      </w:pPr>
      <w:r w:rsidRPr="00A37737">
        <w:rPr>
          <w:rFonts w:ascii="Times New Roman" w:hAnsi="Times New Roman"/>
        </w:rPr>
        <w:t>Bortfall</w:t>
      </w:r>
    </w:p>
    <w:p w:rsidR="00DE641D" w:rsidRPr="00A37737" w:rsidRDefault="00DE641D" w:rsidP="00DE641D">
      <w:pPr>
        <w:pStyle w:val="Brdtext"/>
        <w:rPr>
          <w:color w:val="auto"/>
        </w:rPr>
      </w:pPr>
      <w:r w:rsidRPr="00A37737">
        <w:rPr>
          <w:color w:val="auto"/>
        </w:rPr>
        <w:t>Bortfallsfel inträffar om objekten i bortfallet och de svarande skiljer sig åt (har en annan fördelning) avseende undersökningsvariablerna. En beskrivning av bortfallet finns i den bortfallsanalys som gjorts i samband med valet av hjälpinformation till kalibreringen, se bilaga.</w:t>
      </w:r>
    </w:p>
    <w:p w:rsidR="00DE641D" w:rsidRPr="004C3B79" w:rsidRDefault="00DE641D" w:rsidP="00DE641D">
      <w:pPr>
        <w:pStyle w:val="Brdtext"/>
        <w:rPr>
          <w:color w:val="auto"/>
        </w:rPr>
      </w:pPr>
    </w:p>
    <w:p w:rsidR="00DE641D" w:rsidRPr="004C3B79" w:rsidRDefault="00DE641D" w:rsidP="00DE641D">
      <w:pPr>
        <w:pStyle w:val="Rubrik2"/>
      </w:pPr>
      <w:r w:rsidRPr="004C3B79">
        <w:t>Aktualitet</w:t>
      </w:r>
    </w:p>
    <w:p w:rsidR="00DE641D" w:rsidRPr="004C3B79" w:rsidRDefault="00B919EC" w:rsidP="00DE641D">
      <w:pPr>
        <w:pStyle w:val="Brdtext"/>
        <w:rPr>
          <w:color w:val="auto"/>
        </w:rPr>
      </w:pPr>
      <w:r>
        <w:rPr>
          <w:color w:val="auto"/>
        </w:rPr>
        <w:t>SCB:s arbete omfattade enkätkonstruktion, tryckning, databearbetning samt framställning av tabeller och teknisk rapport. Materialet levererades i vecka 3</w:t>
      </w:r>
      <w:r w:rsidR="00E11ADB">
        <w:rPr>
          <w:color w:val="auto"/>
        </w:rPr>
        <w:t>4</w:t>
      </w:r>
      <w:r w:rsidR="00DE641D" w:rsidRPr="004C3B79">
        <w:rPr>
          <w:color w:val="auto"/>
        </w:rPr>
        <w:t>, år 20</w:t>
      </w:r>
      <w:r>
        <w:rPr>
          <w:color w:val="auto"/>
        </w:rPr>
        <w:t>1</w:t>
      </w:r>
      <w:r w:rsidR="00DE641D" w:rsidRPr="004C3B79">
        <w:rPr>
          <w:color w:val="auto"/>
        </w:rPr>
        <w:t>0,</w:t>
      </w:r>
      <w:r>
        <w:rPr>
          <w:color w:val="auto"/>
        </w:rPr>
        <w:t xml:space="preserve"> enligt överenskommelse</w:t>
      </w:r>
      <w:r w:rsidR="00DE641D" w:rsidRPr="004C3B79">
        <w:rPr>
          <w:color w:val="auto"/>
        </w:rPr>
        <w:t>.</w:t>
      </w:r>
    </w:p>
    <w:p w:rsidR="00DE641D" w:rsidRPr="004C3B79" w:rsidRDefault="00DE641D" w:rsidP="00DE641D">
      <w:pPr>
        <w:pStyle w:val="Brdtext"/>
        <w:rPr>
          <w:color w:val="auto"/>
        </w:rPr>
      </w:pPr>
    </w:p>
    <w:p w:rsidR="00DE641D" w:rsidRPr="00A565EA" w:rsidRDefault="00DE641D" w:rsidP="00DE641D">
      <w:pPr>
        <w:pStyle w:val="Rubrik2"/>
      </w:pPr>
      <w:r w:rsidRPr="00A565EA">
        <w:t>Jämförbarhet och samanvändbarhet</w:t>
      </w:r>
    </w:p>
    <w:p w:rsidR="00DE641D" w:rsidRPr="004C3B79" w:rsidRDefault="00DE641D" w:rsidP="00DE641D">
      <w:pPr>
        <w:pStyle w:val="Rubrik2"/>
        <w:rPr>
          <w:rFonts w:ascii="Times New Roman" w:hAnsi="Times New Roman"/>
        </w:rPr>
      </w:pPr>
      <w:r w:rsidRPr="004C3B79">
        <w:rPr>
          <w:rFonts w:ascii="Times New Roman" w:hAnsi="Times New Roman"/>
        </w:rPr>
        <w:t>Jämförbarhet över tiden</w:t>
      </w:r>
    </w:p>
    <w:p w:rsidR="00DE641D" w:rsidRPr="004C3B79" w:rsidRDefault="00A565EA" w:rsidP="00DE641D">
      <w:pPr>
        <w:pStyle w:val="Brdtext"/>
        <w:rPr>
          <w:color w:val="auto"/>
        </w:rPr>
      </w:pPr>
      <w:r>
        <w:rPr>
          <w:color w:val="auto"/>
        </w:rPr>
        <w:t xml:space="preserve">Mellanårsenkäten 2004, 2005, </w:t>
      </w:r>
      <w:r w:rsidR="00DE641D" w:rsidRPr="004C3B79">
        <w:rPr>
          <w:color w:val="auto"/>
        </w:rPr>
        <w:t xml:space="preserve">2006 </w:t>
      </w:r>
      <w:r>
        <w:rPr>
          <w:color w:val="auto"/>
        </w:rPr>
        <w:t xml:space="preserve">och 2008 </w:t>
      </w:r>
      <w:r w:rsidR="00DE641D" w:rsidRPr="004C3B79">
        <w:rPr>
          <w:color w:val="auto"/>
        </w:rPr>
        <w:t>genomfördes av SCB. Tidigare år har den genomförts av annan producent.</w:t>
      </w:r>
    </w:p>
    <w:p w:rsidR="00DE641D" w:rsidRPr="004C3B79" w:rsidRDefault="00DE641D" w:rsidP="00DE641D">
      <w:pPr>
        <w:pStyle w:val="Brdtext"/>
        <w:rPr>
          <w:color w:val="auto"/>
        </w:rPr>
      </w:pPr>
    </w:p>
    <w:p w:rsidR="00DE641D" w:rsidRPr="00841964" w:rsidRDefault="00DE641D" w:rsidP="00DE641D">
      <w:pPr>
        <w:pStyle w:val="Brdtext"/>
        <w:rPr>
          <w:color w:val="auto"/>
        </w:rPr>
      </w:pPr>
      <w:r w:rsidRPr="004C3B79">
        <w:rPr>
          <w:color w:val="auto"/>
        </w:rPr>
        <w:t>Många frågor i frågeformuläret 20</w:t>
      </w:r>
      <w:r w:rsidR="00A565EA">
        <w:rPr>
          <w:color w:val="auto"/>
        </w:rPr>
        <w:t>1</w:t>
      </w:r>
      <w:r w:rsidRPr="004C3B79">
        <w:rPr>
          <w:color w:val="auto"/>
        </w:rPr>
        <w:t>0 fanns med i tidigare års formulär.</w:t>
      </w:r>
      <w:r w:rsidR="00A565EA">
        <w:rPr>
          <w:color w:val="auto"/>
        </w:rPr>
        <w:t xml:space="preserve"> Samma</w:t>
      </w:r>
      <w:r w:rsidRPr="00841964">
        <w:rPr>
          <w:color w:val="auto"/>
        </w:rPr>
        <w:t xml:space="preserve"> skattningsmetod använ</w:t>
      </w:r>
      <w:r w:rsidR="00A565EA">
        <w:rPr>
          <w:color w:val="auto"/>
        </w:rPr>
        <w:t>de</w:t>
      </w:r>
      <w:r w:rsidRPr="00841964">
        <w:rPr>
          <w:color w:val="auto"/>
        </w:rPr>
        <w:t xml:space="preserve">s </w:t>
      </w:r>
      <w:r w:rsidR="00A565EA">
        <w:rPr>
          <w:color w:val="auto"/>
        </w:rPr>
        <w:t xml:space="preserve">som </w:t>
      </w:r>
      <w:r w:rsidRPr="00841964">
        <w:rPr>
          <w:color w:val="auto"/>
        </w:rPr>
        <w:t>i 2008 års enkät. Genom kalibre</w:t>
      </w:r>
      <w:r w:rsidR="00A565EA">
        <w:rPr>
          <w:color w:val="auto"/>
        </w:rPr>
        <w:softHyphen/>
      </w:r>
      <w:r w:rsidRPr="00841964">
        <w:rPr>
          <w:color w:val="auto"/>
        </w:rPr>
        <w:t xml:space="preserve">ringsestimatorn har mer hjälpinformation har använts. SCB:s bedömning är att de </w:t>
      </w:r>
      <w:r w:rsidR="00A565EA">
        <w:rPr>
          <w:color w:val="auto"/>
        </w:rPr>
        <w:t>fem</w:t>
      </w:r>
      <w:r w:rsidRPr="00841964">
        <w:rPr>
          <w:color w:val="auto"/>
        </w:rPr>
        <w:t xml:space="preserve"> </w:t>
      </w:r>
      <w:r>
        <w:rPr>
          <w:color w:val="auto"/>
        </w:rPr>
        <w:t xml:space="preserve">senaste </w:t>
      </w:r>
      <w:r w:rsidRPr="00841964">
        <w:rPr>
          <w:color w:val="auto"/>
        </w:rPr>
        <w:t>årgångarna kan jämföras med varandra.</w:t>
      </w:r>
    </w:p>
    <w:p w:rsidR="00DE641D" w:rsidRPr="00DE641D" w:rsidRDefault="00DE641D" w:rsidP="00DE641D">
      <w:pPr>
        <w:pStyle w:val="Brdtext"/>
        <w:rPr>
          <w:color w:val="auto"/>
        </w:rPr>
      </w:pPr>
    </w:p>
    <w:p w:rsidR="00DE641D" w:rsidRPr="00841964" w:rsidRDefault="00DE641D" w:rsidP="00DE641D">
      <w:pPr>
        <w:pStyle w:val="Rubrik2"/>
      </w:pPr>
      <w:r w:rsidRPr="00841964">
        <w:t>Tillgänglighet och förståelighet</w:t>
      </w:r>
    </w:p>
    <w:p w:rsidR="00DE641D" w:rsidRPr="00841964" w:rsidRDefault="00DE641D" w:rsidP="00DE641D">
      <w:r w:rsidRPr="00841964">
        <w:t>SCB levererar tabeller och diagram tillsammans med den här rapporten</w:t>
      </w:r>
      <w:r w:rsidR="00A565EA">
        <w:t xml:space="preserve"> där arbetet beskrivs</w:t>
      </w:r>
      <w:r w:rsidRPr="00841964">
        <w:t>.</w:t>
      </w:r>
      <w:r w:rsidR="00A565EA">
        <w:t xml:space="preserve"> A</w:t>
      </w:r>
      <w:r w:rsidRPr="00841964">
        <w:t>nvändning och spridning regleras i SCB:s allmänna avtalsvillkor.</w:t>
      </w:r>
    </w:p>
    <w:p w:rsidR="00034076" w:rsidRDefault="00034076">
      <w:pPr>
        <w:overflowPunct/>
        <w:autoSpaceDE/>
        <w:autoSpaceDN/>
        <w:adjustRightInd/>
        <w:textAlignment w:val="auto"/>
      </w:pPr>
      <w:r>
        <w:br w:type="page"/>
      </w:r>
    </w:p>
    <w:p w:rsidR="00DE641D" w:rsidRPr="00696F82" w:rsidRDefault="00A565EA" w:rsidP="00DE641D">
      <w:pPr>
        <w:pStyle w:val="Rubrik2"/>
      </w:pPr>
      <w:r>
        <w:lastRenderedPageBreak/>
        <w:t>Användning</w:t>
      </w:r>
      <w:r w:rsidR="00DE641D" w:rsidRPr="00696F82">
        <w:t xml:space="preserve"> av </w:t>
      </w:r>
      <w:r>
        <w:t>tabellerna</w:t>
      </w:r>
    </w:p>
    <w:p w:rsidR="00034076" w:rsidRPr="00034076" w:rsidRDefault="00034076" w:rsidP="00034076">
      <w:r w:rsidRPr="00034076">
        <w:t>För att kunna läsa tabellerna måste (oftast) inställningar i Excel ändras.</w:t>
      </w:r>
    </w:p>
    <w:p w:rsidR="00034076" w:rsidRPr="00034076" w:rsidRDefault="00034076" w:rsidP="00034076">
      <w:pPr>
        <w:numPr>
          <w:ilvl w:val="0"/>
          <w:numId w:val="4"/>
        </w:numPr>
      </w:pPr>
      <w:r w:rsidRPr="00034076">
        <w:t>Excel 2003</w:t>
      </w:r>
      <w:r w:rsidRPr="00034076">
        <w:br/>
        <w:t>För att tabellerna skall fungera måste säkerhetsnivån vara medel.</w:t>
      </w:r>
      <w:r w:rsidRPr="00034076">
        <w:br/>
        <w:t>Detta kontrolleras genom att gå in under "Verktyg - Makro - Säkerhet - Säkerhetsnivåfliken"</w:t>
      </w:r>
      <w:r w:rsidRPr="00034076">
        <w:br/>
        <w:t>När Excel-filen öppnas skall även makrot aktiveras.</w:t>
      </w:r>
      <w:r>
        <w:br/>
      </w:r>
    </w:p>
    <w:p w:rsidR="00034076" w:rsidRPr="00034076" w:rsidRDefault="00034076" w:rsidP="00034076">
      <w:pPr>
        <w:numPr>
          <w:ilvl w:val="0"/>
          <w:numId w:val="4"/>
        </w:numPr>
      </w:pPr>
      <w:r w:rsidRPr="00034076">
        <w:t>Excel 2007</w:t>
      </w:r>
      <w:r w:rsidRPr="00034076">
        <w:br/>
        <w:t xml:space="preserve">Välj Excel-alternativ – Säkerhetscenter – Inställningar för säkerhetscenter – Makroinställningar </w:t>
      </w:r>
      <w:r w:rsidRPr="00034076">
        <w:br/>
        <w:t>Markera rutorna ”Aktivera alla makron” och ”Åtkomst till objektmodell för VBA-projekt betrodd”.</w:t>
      </w:r>
    </w:p>
    <w:p w:rsidR="00034076" w:rsidRDefault="00034076" w:rsidP="00034076"/>
    <w:p w:rsidR="00034076" w:rsidRPr="00034076" w:rsidRDefault="00034076" w:rsidP="00034076">
      <w:r w:rsidRPr="00034076">
        <w:t>För att kunna se diagrammen måste man i tabellfliken välja ”Andel utan konfidensintervall” eller ”Antal utan konfidensintervall”.</w:t>
      </w:r>
    </w:p>
    <w:p w:rsidR="00034076" w:rsidRDefault="00034076" w:rsidP="00DE641D"/>
    <w:p w:rsidR="00DE641D" w:rsidRDefault="00DE641D" w:rsidP="00DE641D">
      <w:r w:rsidRPr="00696F82">
        <w:t>Då statistiken redovisas på små grupper (olika program) och bortfallet var ganska högt bör viss försiktighet användas vid jämförelser mellan olika grupper. Små procentuella skillnader ligger ofta inom den s.k. felmarginalen.</w:t>
      </w:r>
    </w:p>
    <w:p w:rsidR="00034076" w:rsidRPr="00696F82" w:rsidRDefault="00034076" w:rsidP="00DE641D"/>
    <w:p w:rsidR="00DE641D" w:rsidRPr="00890337" w:rsidRDefault="00DE641D" w:rsidP="00DE641D">
      <w:pPr>
        <w:pStyle w:val="Rubrik2"/>
      </w:pPr>
      <w:r w:rsidRPr="00890337">
        <w:t>Övrigt</w:t>
      </w:r>
    </w:p>
    <w:p w:rsidR="00DE641D" w:rsidRPr="00DE641D" w:rsidRDefault="00DE641D" w:rsidP="00DE641D">
      <w:pPr>
        <w:pStyle w:val="Brdtext"/>
        <w:rPr>
          <w:color w:val="auto"/>
        </w:rPr>
      </w:pPr>
      <w:r w:rsidRPr="00DE641D">
        <w:rPr>
          <w:color w:val="auto"/>
        </w:rPr>
        <w:t>Bilaga: Kalibreringsrapport</w:t>
      </w:r>
    </w:p>
    <w:sectPr w:rsidR="00DE641D" w:rsidRPr="00DE641D" w:rsidSect="00B66D8E">
      <w:headerReference w:type="default" r:id="rId14"/>
      <w:footerReference w:type="default" r:id="rId15"/>
      <w:headerReference w:type="first" r:id="rId16"/>
      <w:footerReference w:type="first" r:id="rId17"/>
      <w:pgSz w:w="11907" w:h="16840" w:code="9"/>
      <w:pgMar w:top="431" w:right="720" w:bottom="431" w:left="3742" w:header="431" w:footer="431" w:gutter="0"/>
      <w:paperSrc w:first="1" w:other="1"/>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5EA" w:rsidRDefault="00A565EA">
      <w:r>
        <w:separator/>
      </w:r>
    </w:p>
  </w:endnote>
  <w:endnote w:type="continuationSeparator" w:id="0">
    <w:p w:rsidR="00A565EA" w:rsidRDefault="00A565E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5EA" w:rsidRDefault="00A565EA">
    <w:pPr>
      <w:pStyle w:val="Sidfot"/>
    </w:pPr>
    <w:r>
      <w:t xml:space="preserve"> </w:t>
    </w:r>
  </w:p>
  <w:p w:rsidR="00A565EA" w:rsidRDefault="00A565EA">
    <w:pPr>
      <w:pStyle w:val="Sidfot"/>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5EA" w:rsidRDefault="00A565EA">
    <w:pPr>
      <w:pStyle w:val="Sidfot"/>
      <w:rPr>
        <w:sz w:val="28"/>
      </w:rPr>
    </w:pPr>
    <w:r>
      <w:rPr>
        <w:sz w:val="28"/>
      </w:rPr>
      <w:tab/>
    </w:r>
    <w:r>
      <w:rPr>
        <w:sz w:val="28"/>
      </w:rPr>
      <w:tab/>
    </w:r>
    <w:r>
      <w:rPr>
        <w:sz w:val="28"/>
      </w:rPr>
      <w:tab/>
    </w:r>
    <w:r>
      <w:rPr>
        <w:sz w:val="28"/>
      </w:rPr>
      <w:tab/>
    </w:r>
    <w:r>
      <w:rPr>
        <w:sz w:val="28"/>
      </w:rPr>
      <w:tab/>
    </w:r>
    <w:r>
      <w:rPr>
        <w:sz w:val="28"/>
      </w:rPr>
      <w:tab/>
    </w:r>
    <w:r>
      <w:rPr>
        <w:sz w:val="28"/>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5EA" w:rsidRDefault="00A565EA">
      <w:r>
        <w:separator/>
      </w:r>
    </w:p>
  </w:footnote>
  <w:footnote w:type="continuationSeparator" w:id="0">
    <w:p w:rsidR="00A565EA" w:rsidRDefault="00A565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5EA" w:rsidRDefault="00A565EA">
    <w:pPr>
      <w:pStyle w:val="Sidhuvud"/>
    </w:pPr>
  </w:p>
  <w:p w:rsidR="00A565EA" w:rsidRDefault="00A565EA">
    <w:pPr>
      <w:pStyle w:val="Sidhuvud"/>
      <w:framePr w:hSpace="142" w:wrap="around" w:vAnchor="page" w:hAnchor="page" w:x="398" w:y="710"/>
      <w:ind w:left="0"/>
    </w:pPr>
  </w:p>
  <w:p w:rsidR="00A565EA" w:rsidRDefault="00A565EA">
    <w:pPr>
      <w:pStyle w:val="Sidhuvud"/>
      <w:ind w:left="-3312"/>
    </w:pPr>
    <w:r w:rsidRPr="00F33389">
      <w:rPr>
        <w:noProof/>
      </w:rPr>
      <w:drawing>
        <wp:inline distT="0" distB="0" distL="0" distR="0">
          <wp:extent cx="2674620" cy="705612"/>
          <wp:effectExtent l="19050" t="0" r="0" b="0"/>
          <wp:docPr id="8" name="Bildobjekt 2" descr="Grå.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å.tif"/>
                  <pic:cNvPicPr/>
                </pic:nvPicPr>
                <pic:blipFill>
                  <a:blip r:embed="rId1"/>
                  <a:stretch>
                    <a:fillRect/>
                  </a:stretch>
                </pic:blipFill>
                <pic:spPr>
                  <a:xfrm>
                    <a:off x="0" y="0"/>
                    <a:ext cx="2674620" cy="705612"/>
                  </a:xfrm>
                  <a:prstGeom prst="rect">
                    <a:avLst/>
                  </a:prstGeom>
                </pic:spPr>
              </pic:pic>
            </a:graphicData>
          </a:graphic>
        </wp:inline>
      </w:drawing>
    </w:r>
    <w:r>
      <w:tab/>
    </w:r>
    <w:r>
      <w:tab/>
    </w:r>
    <w:r>
      <w:tab/>
    </w:r>
    <w:r w:rsidR="008941D1">
      <w:rPr>
        <w:rStyle w:val="Sidnummer"/>
      </w:rPr>
      <w:fldChar w:fldCharType="begin"/>
    </w:r>
    <w:r>
      <w:rPr>
        <w:rStyle w:val="Sidnummer"/>
      </w:rPr>
      <w:instrText xml:space="preserve"> PAGE </w:instrText>
    </w:r>
    <w:r w:rsidR="008941D1">
      <w:rPr>
        <w:rStyle w:val="Sidnummer"/>
      </w:rPr>
      <w:fldChar w:fldCharType="separate"/>
    </w:r>
    <w:r w:rsidR="000A06EE">
      <w:rPr>
        <w:rStyle w:val="Sidnummer"/>
        <w:noProof/>
      </w:rPr>
      <w:t>3</w:t>
    </w:r>
    <w:r w:rsidR="008941D1">
      <w:rPr>
        <w:rStyle w:val="Sidnummer"/>
      </w:rPr>
      <w:fldChar w:fldCharType="end"/>
    </w:r>
    <w:r>
      <w:rPr>
        <w:rStyle w:val="Sidnummer"/>
      </w:rPr>
      <w:t>(</w:t>
    </w:r>
    <w:r w:rsidR="00034076">
      <w:rPr>
        <w:rStyle w:val="Sidnummer"/>
      </w:rPr>
      <w:t>8</w:t>
    </w:r>
    <w:r>
      <w:rPr>
        <w:rStyle w:val="Sidnummer"/>
      </w:rPr>
      <w:t>)</w:t>
    </w:r>
  </w:p>
  <w:p w:rsidR="00A565EA" w:rsidRDefault="00A565EA">
    <w:pPr>
      <w:pStyle w:val="Sidhuvud"/>
    </w:pPr>
  </w:p>
  <w:p w:rsidR="00A565EA" w:rsidRDefault="00A565EA" w:rsidP="00F33389">
    <w:pPr>
      <w:pStyle w:val="Sidhuvud"/>
      <w:ind w:left="0"/>
    </w:pPr>
  </w:p>
  <w:p w:rsidR="00A565EA" w:rsidRDefault="00A565EA" w:rsidP="00F33389">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5EA" w:rsidRDefault="00A565EA">
    <w:pPr>
      <w:pStyle w:val="Sidhuvud"/>
    </w:pPr>
    <w:r>
      <w:tab/>
    </w:r>
    <w:r>
      <w:tab/>
    </w:r>
    <w:r>
      <w:tab/>
      <w:t xml:space="preserve">    </w:t>
    </w:r>
  </w:p>
  <w:p w:rsidR="00A565EA" w:rsidRDefault="00A565EA">
    <w:pPr>
      <w:pStyle w:val="Sidhuvud"/>
      <w:framePr w:hSpace="142" w:wrap="around" w:vAnchor="page" w:hAnchor="page" w:x="398" w:y="710"/>
      <w:ind w:left="0"/>
    </w:pPr>
  </w:p>
  <w:p w:rsidR="00A565EA" w:rsidRDefault="00A565EA">
    <w:pPr>
      <w:pStyle w:val="Sidhuvud"/>
      <w:ind w:left="-3368"/>
    </w:pPr>
    <w:r w:rsidRPr="00F33389">
      <w:rPr>
        <w:noProof/>
      </w:rPr>
      <w:drawing>
        <wp:inline distT="0" distB="0" distL="0" distR="0">
          <wp:extent cx="2674620" cy="705612"/>
          <wp:effectExtent l="19050" t="0" r="0" b="0"/>
          <wp:docPr id="6" name="Bildobjekt 2" descr="Grå.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å.tif"/>
                  <pic:cNvPicPr/>
                </pic:nvPicPr>
                <pic:blipFill>
                  <a:blip r:embed="rId1"/>
                  <a:stretch>
                    <a:fillRect/>
                  </a:stretch>
                </pic:blipFill>
                <pic:spPr>
                  <a:xfrm>
                    <a:off x="0" y="0"/>
                    <a:ext cx="2674620" cy="705612"/>
                  </a:xfrm>
                  <a:prstGeom prst="rect">
                    <a:avLst/>
                  </a:prstGeom>
                </pic:spPr>
              </pic:pic>
            </a:graphicData>
          </a:graphic>
        </wp:inline>
      </w:drawing>
    </w:r>
  </w:p>
  <w:p w:rsidR="00A565EA" w:rsidRDefault="00A565EA">
    <w:pPr>
      <w:pStyle w:val="Sidhuvud"/>
      <w:ind w:left="-3368"/>
    </w:pPr>
  </w:p>
  <w:p w:rsidR="00A565EA" w:rsidRDefault="00A565EA">
    <w:pPr>
      <w:pStyle w:val="Sidhuvud"/>
      <w:ind w:left="-3368"/>
    </w:pPr>
  </w:p>
  <w:p w:rsidR="00A565EA" w:rsidRDefault="00A565EA">
    <w:pPr>
      <w:pStyle w:val="Sidhuvud"/>
      <w:ind w:left="-3368"/>
    </w:pPr>
    <w:r>
      <w:tab/>
    </w:r>
    <w:r>
      <w:tab/>
    </w:r>
  </w:p>
  <w:p w:rsidR="00A565EA" w:rsidRDefault="00A565EA" w:rsidP="00B66D8E">
    <w:pPr>
      <w:pStyle w:val="Sidhuvud"/>
      <w:ind w:left="-2591"/>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E12D9"/>
    <w:multiLevelType w:val="hybridMultilevel"/>
    <w:tmpl w:val="9A066E7A"/>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2842271C"/>
    <w:multiLevelType w:val="hybridMultilevel"/>
    <w:tmpl w:val="1910FBA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34932993"/>
    <w:multiLevelType w:val="hybridMultilevel"/>
    <w:tmpl w:val="6BDEB78C"/>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3">
    <w:nsid w:val="3F032054"/>
    <w:multiLevelType w:val="hybridMultilevel"/>
    <w:tmpl w:val="9418FCB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GrammaticalErrors/>
  <w:activeWritingStyle w:appName="MSWord" w:lang="sv-SE" w:vendorID="0" w:dllVersion="512" w:checkStyle="1"/>
  <w:activeWritingStyle w:appName="MSWord" w:lang="sv-SE" w:vendorID="666" w:dllVersion="513" w:checkStyle="1"/>
  <w:activeWritingStyle w:appName="MSWord" w:lang="sv-SE" w:vendorID="22" w:dllVersion="513" w:checkStyle="1"/>
  <w:attachedTemplate r:id="rId1"/>
  <w:stylePaneFormatFilter w:val="3F01"/>
  <w:defaultTabStop w:val="1298"/>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compat>
  <w:rsids>
    <w:rsidRoot w:val="00C36955"/>
    <w:rsid w:val="00034076"/>
    <w:rsid w:val="0004636D"/>
    <w:rsid w:val="00065433"/>
    <w:rsid w:val="00090A84"/>
    <w:rsid w:val="000A06EE"/>
    <w:rsid w:val="000A7237"/>
    <w:rsid w:val="00106A8D"/>
    <w:rsid w:val="00113EDE"/>
    <w:rsid w:val="001248C1"/>
    <w:rsid w:val="0012661B"/>
    <w:rsid w:val="001311D7"/>
    <w:rsid w:val="001F534D"/>
    <w:rsid w:val="00232607"/>
    <w:rsid w:val="00285734"/>
    <w:rsid w:val="002A196D"/>
    <w:rsid w:val="002B732D"/>
    <w:rsid w:val="002E2378"/>
    <w:rsid w:val="002F0403"/>
    <w:rsid w:val="002F6FE5"/>
    <w:rsid w:val="00316F1B"/>
    <w:rsid w:val="00354F3E"/>
    <w:rsid w:val="00357312"/>
    <w:rsid w:val="0037077C"/>
    <w:rsid w:val="00376BE2"/>
    <w:rsid w:val="00383E4C"/>
    <w:rsid w:val="003874D6"/>
    <w:rsid w:val="003B14FC"/>
    <w:rsid w:val="00440CEC"/>
    <w:rsid w:val="0045505C"/>
    <w:rsid w:val="004B2450"/>
    <w:rsid w:val="004B64CF"/>
    <w:rsid w:val="004E6269"/>
    <w:rsid w:val="004E796E"/>
    <w:rsid w:val="0051522B"/>
    <w:rsid w:val="00562474"/>
    <w:rsid w:val="0057437C"/>
    <w:rsid w:val="00582447"/>
    <w:rsid w:val="005859CA"/>
    <w:rsid w:val="005B2B57"/>
    <w:rsid w:val="005D063E"/>
    <w:rsid w:val="005D26BA"/>
    <w:rsid w:val="005F1DC0"/>
    <w:rsid w:val="006012CD"/>
    <w:rsid w:val="00601D3B"/>
    <w:rsid w:val="00663140"/>
    <w:rsid w:val="00686F3C"/>
    <w:rsid w:val="006A31DA"/>
    <w:rsid w:val="006A3A5A"/>
    <w:rsid w:val="006B6D04"/>
    <w:rsid w:val="006C1E97"/>
    <w:rsid w:val="006C3658"/>
    <w:rsid w:val="006D1AAE"/>
    <w:rsid w:val="006E2CE5"/>
    <w:rsid w:val="006F4D55"/>
    <w:rsid w:val="00704FF3"/>
    <w:rsid w:val="00711441"/>
    <w:rsid w:val="00712D99"/>
    <w:rsid w:val="0071409A"/>
    <w:rsid w:val="0073747F"/>
    <w:rsid w:val="00741EC1"/>
    <w:rsid w:val="00756200"/>
    <w:rsid w:val="007763CA"/>
    <w:rsid w:val="007D414F"/>
    <w:rsid w:val="00815A84"/>
    <w:rsid w:val="008733C8"/>
    <w:rsid w:val="00875316"/>
    <w:rsid w:val="00881799"/>
    <w:rsid w:val="008941D1"/>
    <w:rsid w:val="008A1E3C"/>
    <w:rsid w:val="008D0BB2"/>
    <w:rsid w:val="008E766F"/>
    <w:rsid w:val="00905DC2"/>
    <w:rsid w:val="00924CFC"/>
    <w:rsid w:val="00925258"/>
    <w:rsid w:val="00936302"/>
    <w:rsid w:val="009452BB"/>
    <w:rsid w:val="00967C13"/>
    <w:rsid w:val="00972963"/>
    <w:rsid w:val="009779A1"/>
    <w:rsid w:val="009936DF"/>
    <w:rsid w:val="009A4702"/>
    <w:rsid w:val="009B546C"/>
    <w:rsid w:val="009B7F9C"/>
    <w:rsid w:val="009C74F0"/>
    <w:rsid w:val="009F30D5"/>
    <w:rsid w:val="00A058D0"/>
    <w:rsid w:val="00A13B65"/>
    <w:rsid w:val="00A22F50"/>
    <w:rsid w:val="00A23A4B"/>
    <w:rsid w:val="00A54CCE"/>
    <w:rsid w:val="00A565EA"/>
    <w:rsid w:val="00A66CFE"/>
    <w:rsid w:val="00A74D8F"/>
    <w:rsid w:val="00A9426B"/>
    <w:rsid w:val="00AA39DC"/>
    <w:rsid w:val="00AB7D63"/>
    <w:rsid w:val="00AD7546"/>
    <w:rsid w:val="00AF2EE9"/>
    <w:rsid w:val="00B042BF"/>
    <w:rsid w:val="00B205DF"/>
    <w:rsid w:val="00B4795A"/>
    <w:rsid w:val="00B519F3"/>
    <w:rsid w:val="00B61EDD"/>
    <w:rsid w:val="00B66B1B"/>
    <w:rsid w:val="00B66D8E"/>
    <w:rsid w:val="00B87ED7"/>
    <w:rsid w:val="00B919EC"/>
    <w:rsid w:val="00B94D90"/>
    <w:rsid w:val="00BC3F2E"/>
    <w:rsid w:val="00BE49DA"/>
    <w:rsid w:val="00C34681"/>
    <w:rsid w:val="00C36955"/>
    <w:rsid w:val="00C41EFD"/>
    <w:rsid w:val="00C625CF"/>
    <w:rsid w:val="00C97164"/>
    <w:rsid w:val="00CA5A21"/>
    <w:rsid w:val="00CA73E8"/>
    <w:rsid w:val="00CB518B"/>
    <w:rsid w:val="00D12B3C"/>
    <w:rsid w:val="00D36A53"/>
    <w:rsid w:val="00D401C7"/>
    <w:rsid w:val="00D45DAE"/>
    <w:rsid w:val="00D66194"/>
    <w:rsid w:val="00DA134F"/>
    <w:rsid w:val="00DC23EB"/>
    <w:rsid w:val="00DC768D"/>
    <w:rsid w:val="00DE641D"/>
    <w:rsid w:val="00E11ADB"/>
    <w:rsid w:val="00E161D7"/>
    <w:rsid w:val="00E3029B"/>
    <w:rsid w:val="00E337B9"/>
    <w:rsid w:val="00E35489"/>
    <w:rsid w:val="00E45117"/>
    <w:rsid w:val="00E657B4"/>
    <w:rsid w:val="00E94537"/>
    <w:rsid w:val="00EC3EC1"/>
    <w:rsid w:val="00EE6F90"/>
    <w:rsid w:val="00EF17D1"/>
    <w:rsid w:val="00EF763B"/>
    <w:rsid w:val="00F33389"/>
    <w:rsid w:val="00F43E18"/>
    <w:rsid w:val="00F515C2"/>
    <w:rsid w:val="00F5218D"/>
    <w:rsid w:val="00F52AF1"/>
    <w:rsid w:val="00F729A1"/>
    <w:rsid w:val="00FB7CF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2B3C"/>
    <w:pPr>
      <w:overflowPunct w:val="0"/>
      <w:autoSpaceDE w:val="0"/>
      <w:autoSpaceDN w:val="0"/>
      <w:adjustRightInd w:val="0"/>
      <w:textAlignment w:val="baseline"/>
    </w:pPr>
    <w:rPr>
      <w:rFonts w:ascii="Times New Roman" w:hAnsi="Times New Roman"/>
      <w:sz w:val="24"/>
    </w:rPr>
  </w:style>
  <w:style w:type="paragraph" w:styleId="Rubrik1">
    <w:name w:val="heading 1"/>
    <w:basedOn w:val="Normal"/>
    <w:next w:val="Normal"/>
    <w:qFormat/>
    <w:rsid w:val="00D12B3C"/>
    <w:pPr>
      <w:keepNext/>
      <w:keepLines/>
      <w:spacing w:before="360" w:after="180"/>
      <w:outlineLvl w:val="0"/>
    </w:pPr>
    <w:rPr>
      <w:rFonts w:ascii="Arial" w:hAnsi="Arial"/>
      <w:b/>
      <w:sz w:val="28"/>
    </w:rPr>
  </w:style>
  <w:style w:type="paragraph" w:styleId="Rubrik2">
    <w:name w:val="heading 2"/>
    <w:basedOn w:val="Normal"/>
    <w:next w:val="Normal"/>
    <w:qFormat/>
    <w:rsid w:val="00D12B3C"/>
    <w:pPr>
      <w:keepNext/>
      <w:keepLines/>
      <w:spacing w:before="120" w:after="180"/>
      <w:outlineLvl w:val="1"/>
    </w:pPr>
    <w:rPr>
      <w:rFonts w:ascii="Arial" w:hAnsi="Arial"/>
      <w:b/>
    </w:rPr>
  </w:style>
  <w:style w:type="paragraph" w:styleId="Rubrik3">
    <w:name w:val="heading 3"/>
    <w:basedOn w:val="Normal"/>
    <w:next w:val="Normal"/>
    <w:qFormat/>
    <w:rsid w:val="00D12B3C"/>
    <w:pPr>
      <w:keepNext/>
      <w:keepLines/>
      <w:spacing w:before="120" w:after="120"/>
      <w:outlineLvl w:val="2"/>
    </w:pPr>
    <w:rPr>
      <w:b/>
    </w:rPr>
  </w:style>
  <w:style w:type="paragraph" w:styleId="Rubrik4">
    <w:name w:val="heading 4"/>
    <w:basedOn w:val="Normal"/>
    <w:next w:val="Normal"/>
    <w:qFormat/>
    <w:rsid w:val="00D12B3C"/>
    <w:pPr>
      <w:keepNext/>
      <w:keepLines/>
      <w:spacing w:after="60"/>
      <w:outlineLvl w:val="3"/>
    </w:pPr>
    <w:rPr>
      <w:i/>
    </w:rPr>
  </w:style>
  <w:style w:type="paragraph" w:styleId="Rubrik5">
    <w:name w:val="heading 5"/>
    <w:basedOn w:val="Normal"/>
    <w:next w:val="Normal"/>
    <w:qFormat/>
    <w:rsid w:val="00D12B3C"/>
    <w:pPr>
      <w:keepNext/>
      <w:outlineLvl w:val="4"/>
    </w:pPr>
    <w:rPr>
      <w:sz w:val="5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nehll3">
    <w:name w:val="toc 3"/>
    <w:basedOn w:val="Normal"/>
    <w:next w:val="Normal"/>
    <w:semiHidden/>
    <w:rsid w:val="00D12B3C"/>
    <w:pPr>
      <w:tabs>
        <w:tab w:val="left" w:leader="dot" w:pos="7070"/>
        <w:tab w:val="right" w:pos="7200"/>
      </w:tabs>
      <w:ind w:left="1296"/>
    </w:pPr>
  </w:style>
  <w:style w:type="paragraph" w:styleId="Innehll2">
    <w:name w:val="toc 2"/>
    <w:basedOn w:val="Normal"/>
    <w:next w:val="Normal"/>
    <w:semiHidden/>
    <w:rsid w:val="00D12B3C"/>
    <w:pPr>
      <w:tabs>
        <w:tab w:val="left" w:leader="dot" w:pos="7070"/>
        <w:tab w:val="right" w:pos="7200"/>
      </w:tabs>
      <w:ind w:left="648"/>
    </w:pPr>
  </w:style>
  <w:style w:type="paragraph" w:styleId="Innehll1">
    <w:name w:val="toc 1"/>
    <w:basedOn w:val="Normal"/>
    <w:next w:val="Normal"/>
    <w:semiHidden/>
    <w:rsid w:val="00D12B3C"/>
    <w:pPr>
      <w:tabs>
        <w:tab w:val="left" w:leader="dot" w:pos="7070"/>
        <w:tab w:val="right" w:pos="7200"/>
      </w:tabs>
    </w:pPr>
  </w:style>
  <w:style w:type="paragraph" w:styleId="Sidfot">
    <w:name w:val="footer"/>
    <w:basedOn w:val="Normal"/>
    <w:rsid w:val="00D12B3C"/>
    <w:pPr>
      <w:tabs>
        <w:tab w:val="left" w:pos="-1296"/>
        <w:tab w:val="left" w:pos="0"/>
      </w:tabs>
      <w:ind w:left="-2592"/>
    </w:pPr>
    <w:rPr>
      <w:sz w:val="16"/>
    </w:rPr>
  </w:style>
  <w:style w:type="paragraph" w:styleId="Sidhuvud">
    <w:name w:val="header"/>
    <w:basedOn w:val="Normal"/>
    <w:rsid w:val="00D12B3C"/>
    <w:pPr>
      <w:tabs>
        <w:tab w:val="left" w:pos="2592"/>
        <w:tab w:val="left" w:pos="5184"/>
        <w:tab w:val="left" w:pos="6480"/>
      </w:tabs>
      <w:ind w:left="-2592"/>
    </w:pPr>
  </w:style>
  <w:style w:type="paragraph" w:styleId="Normaltindrag">
    <w:name w:val="Normal Indent"/>
    <w:basedOn w:val="Normal"/>
    <w:rsid w:val="00D12B3C"/>
    <w:pPr>
      <w:ind w:left="1296" w:hanging="1296"/>
    </w:pPr>
  </w:style>
  <w:style w:type="paragraph" w:customStyle="1" w:styleId="Rubrikimarg">
    <w:name w:val="Rubrik i marg"/>
    <w:basedOn w:val="Normal"/>
    <w:next w:val="Normal"/>
    <w:rsid w:val="00D12B3C"/>
    <w:pPr>
      <w:tabs>
        <w:tab w:val="left" w:pos="0"/>
      </w:tabs>
      <w:ind w:hanging="2592"/>
    </w:pPr>
  </w:style>
  <w:style w:type="paragraph" w:customStyle="1" w:styleId="rendemening">
    <w:name w:val="Ärendemening"/>
    <w:basedOn w:val="Normal"/>
    <w:next w:val="Normal"/>
    <w:rsid w:val="00D12B3C"/>
    <w:pPr>
      <w:spacing w:after="240"/>
    </w:pPr>
    <w:rPr>
      <w:rFonts w:ascii="Arial" w:hAnsi="Arial"/>
      <w:b/>
      <w:sz w:val="32"/>
    </w:rPr>
  </w:style>
  <w:style w:type="paragraph" w:styleId="Brdtext">
    <w:name w:val="Body Text"/>
    <w:basedOn w:val="Normal"/>
    <w:link w:val="BrdtextChar"/>
    <w:rsid w:val="00B66D8E"/>
    <w:rPr>
      <w:color w:val="0000FF"/>
    </w:rPr>
  </w:style>
  <w:style w:type="paragraph" w:customStyle="1" w:styleId="Brdtext21">
    <w:name w:val="Brödtext 21"/>
    <w:basedOn w:val="Normal"/>
    <w:rsid w:val="00B66D8E"/>
    <w:rPr>
      <w:color w:val="0000FF"/>
    </w:rPr>
  </w:style>
  <w:style w:type="character" w:styleId="Sidnummer">
    <w:name w:val="page number"/>
    <w:basedOn w:val="Standardstycketeckensnitt"/>
    <w:rsid w:val="00B66D8E"/>
  </w:style>
  <w:style w:type="paragraph" w:styleId="Ballongtext">
    <w:name w:val="Balloon Text"/>
    <w:basedOn w:val="Normal"/>
    <w:link w:val="BallongtextChar"/>
    <w:rsid w:val="00090A84"/>
    <w:rPr>
      <w:rFonts w:ascii="Tahoma" w:hAnsi="Tahoma" w:cs="Tahoma"/>
      <w:sz w:val="16"/>
      <w:szCs w:val="16"/>
    </w:rPr>
  </w:style>
  <w:style w:type="character" w:customStyle="1" w:styleId="BallongtextChar">
    <w:name w:val="Ballongtext Char"/>
    <w:basedOn w:val="Standardstycketeckensnitt"/>
    <w:link w:val="Ballongtext"/>
    <w:rsid w:val="00090A84"/>
    <w:rPr>
      <w:rFonts w:ascii="Tahoma" w:hAnsi="Tahoma" w:cs="Tahoma"/>
      <w:sz w:val="16"/>
      <w:szCs w:val="16"/>
    </w:rPr>
  </w:style>
  <w:style w:type="character" w:customStyle="1" w:styleId="BrdtextChar">
    <w:name w:val="Brödtext Char"/>
    <w:basedOn w:val="Standardstycketeckensnitt"/>
    <w:link w:val="Brdtext"/>
    <w:rsid w:val="00686F3C"/>
    <w:rPr>
      <w:rFonts w:ascii="Times New Roman" w:hAnsi="Times New Roman"/>
      <w:color w:val="0000FF"/>
      <w:sz w:val="24"/>
    </w:rPr>
  </w:style>
  <w:style w:type="paragraph" w:styleId="Makrotext">
    <w:name w:val="macro"/>
    <w:link w:val="MakrotextChar"/>
    <w:rsid w:val="00DE641D"/>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Times New Roman" w:hAnsi="Times New Roman"/>
    </w:rPr>
  </w:style>
  <w:style w:type="character" w:customStyle="1" w:styleId="MakrotextChar">
    <w:name w:val="Makrotext Char"/>
    <w:basedOn w:val="Standardstycketeckensnitt"/>
    <w:link w:val="Makrotext"/>
    <w:rsid w:val="00DE641D"/>
    <w:rPr>
      <w:rFonts w:ascii="Times New Roman" w:hAnsi="Times New Roman"/>
    </w:rPr>
  </w:style>
  <w:style w:type="paragraph" w:customStyle="1" w:styleId="Brdtext22">
    <w:name w:val="Brödtext 22"/>
    <w:basedOn w:val="Normal"/>
    <w:rsid w:val="00DE641D"/>
    <w:pPr>
      <w:ind w:left="1290"/>
    </w:pPr>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tiff"/></Relationships>
</file>

<file path=word/_rels/header2.xml.rels><?xml version="1.0" encoding="UTF-8" standalone="yes"?>
<Relationships xmlns="http://schemas.openxmlformats.org/package/2006/relationships"><Relationship Id="rId1" Type="http://schemas.openxmlformats.org/officeDocument/2006/relationships/image" Target="media/image5.tiff"/></Relationships>
</file>

<file path=word/_rels/settings.xml.rels><?xml version="1.0" encoding="UTF-8" standalone="yes"?>
<Relationships xmlns="http://schemas.openxmlformats.org/package/2006/relationships"><Relationship Id="rId1" Type="http://schemas.openxmlformats.org/officeDocument/2006/relationships/attachedTemplate" Target="file:///T:\Gemensamma\Mallar\Office%202007\BREV.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BREV.dotx</Template>
  <TotalTime>271</TotalTime>
  <Pages>9</Pages>
  <Words>2125</Words>
  <Characters>11267</Characters>
  <Application>Microsoft Office Word</Application>
  <DocSecurity>0</DocSecurity>
  <Lines>93</Lines>
  <Paragraphs>26</Paragraphs>
  <ScaleCrop>false</ScaleCrop>
  <HeadingPairs>
    <vt:vector size="2" baseType="variant">
      <vt:variant>
        <vt:lpstr>Rubrik</vt:lpstr>
      </vt:variant>
      <vt:variant>
        <vt:i4>1</vt:i4>
      </vt:variant>
    </vt:vector>
  </HeadingPairs>
  <TitlesOfParts>
    <vt:vector size="1" baseType="lpstr">
      <vt:lpstr>Arbete och välfärd 2004</vt:lpstr>
    </vt:vector>
  </TitlesOfParts>
  <Company>SCB</Company>
  <LinksUpToDate>false</LinksUpToDate>
  <CharactersWithSpaces>13366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Arbete och välfärd 2004</dc:title>
  <dc:subject/>
  <dc:creator>scbkbkb</dc:creator>
  <cp:keywords/>
  <dc:description/>
  <cp:lastModifiedBy>scbsisa</cp:lastModifiedBy>
  <cp:revision>26</cp:revision>
  <cp:lastPrinted>2009-10-20T12:57:00Z</cp:lastPrinted>
  <dcterms:created xsi:type="dcterms:W3CDTF">2010-08-13T07:55:00Z</dcterms:created>
  <dcterms:modified xsi:type="dcterms:W3CDTF">2010-08-26T06:42:00Z</dcterms:modified>
</cp:coreProperties>
</file>