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54" w:rsidRDefault="00FA49B1" w:rsidP="00340A54">
      <w:pPr>
        <w:pStyle w:val="KTHTitel"/>
      </w:pPr>
      <w:r>
        <w:t xml:space="preserve">4. </w:t>
      </w:r>
      <w:r w:rsidR="00340A54">
        <w:t>Selection guide when recruiting doctoral students</w:t>
      </w:r>
    </w:p>
    <w:p w:rsidR="00340A54" w:rsidRDefault="00340A54" w:rsidP="00340A54">
      <w:pPr>
        <w:pStyle w:val="BodyText"/>
      </w:pPr>
      <w:r>
        <w:t xml:space="preserve">When the deadline has passed, an initial selection </w:t>
      </w:r>
      <w:proofErr w:type="gramStart"/>
      <w:r>
        <w:t>is made</w:t>
      </w:r>
      <w:proofErr w:type="gramEnd"/>
      <w:r>
        <w:t xml:space="preserve"> from all candidates based on their application documents and the employment profile, including: basic and, if relevant, specific entry requirements as well as personal characteristics and other </w:t>
      </w:r>
      <w:r w:rsidR="000B5240">
        <w:rPr>
          <w:color w:val="262626"/>
          <w:sz w:val="15"/>
          <w:szCs w:val="15"/>
          <w:lang/>
        </w:rPr>
        <w:t>meri</w:t>
      </w:r>
      <w:r w:rsidR="000B5240">
        <w:rPr>
          <w:color w:val="262626"/>
          <w:sz w:val="15"/>
          <w:szCs w:val="15"/>
          <w:lang/>
        </w:rPr>
        <w:t>torious knowledge and qualities</w:t>
      </w:r>
      <w:r>
        <w:t xml:space="preserve"> experience.  </w:t>
      </w:r>
    </w:p>
    <w:p w:rsidR="00340A54" w:rsidRDefault="00340A54" w:rsidP="00340A54">
      <w:pPr>
        <w:pStyle w:val="BodyText"/>
      </w:pPr>
      <w:r>
        <w:t xml:space="preserve">The candidate’s application </w:t>
      </w:r>
      <w:proofErr w:type="gramStart"/>
      <w:r>
        <w:t>is matched up</w:t>
      </w:r>
      <w:proofErr w:type="gramEnd"/>
      <w:r>
        <w:t xml:space="preserve"> to the employment profile. Explain why you have selected or rejected any given candidate based on the employment profile.</w:t>
      </w:r>
    </w:p>
    <w:p w:rsidR="00340A54" w:rsidRPr="00660FF7" w:rsidRDefault="00340A54" w:rsidP="00340A54">
      <w:pPr>
        <w:pStyle w:val="BodyText"/>
      </w:pPr>
      <w:r>
        <w:t>A good selection based on the competence-based recruitment model helps ensure that the recruitment process meets KTH’s vision regarding equality, diversity and equal work conditions, as well as the requirements of the Discrimination Act (</w:t>
      </w:r>
      <w:hyperlink r:id="rId7" w:history="1">
        <w:r w:rsidRPr="000D7824">
          <w:rPr>
            <w:rStyle w:val="Hyperlink"/>
          </w:rPr>
          <w:t xml:space="preserve">link to </w:t>
        </w:r>
        <w:r w:rsidRPr="000D7824">
          <w:rPr>
            <w:rStyle w:val="Hyperlink"/>
            <w:lang w:val="en"/>
          </w:rPr>
          <w:t>The Equality Ombudsman DO</w:t>
        </w:r>
        <w:r w:rsidRPr="000D7824">
          <w:rPr>
            <w:rStyle w:val="Hyperlink"/>
          </w:rPr>
          <w:t>).</w:t>
        </w:r>
      </w:hyperlink>
    </w:p>
    <w:p w:rsidR="00340A54" w:rsidRDefault="00A60069" w:rsidP="00A60069">
      <w:pPr>
        <w:pStyle w:val="Heading1"/>
      </w:pPr>
      <w:r>
        <w:t>Overview</w:t>
      </w:r>
    </w:p>
    <w:p w:rsidR="00340A54" w:rsidRDefault="00340A54" w:rsidP="00340A54">
      <w:pPr>
        <w:pStyle w:val="BodyText"/>
      </w:pPr>
      <w:r>
        <w:rPr>
          <w:noProof/>
          <w:lang w:val="sv-SE" w:eastAsia="sv-SE"/>
        </w:rPr>
        <w:drawing>
          <wp:inline distT="0" distB="0" distL="0" distR="0" wp14:anchorId="34A620E9" wp14:editId="644961C9">
            <wp:extent cx="4981575" cy="4200525"/>
            <wp:effectExtent l="0" t="38100" r="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0A54" w:rsidRDefault="00A60069" w:rsidP="00340A54">
      <w:pPr>
        <w:pStyle w:val="Heading1"/>
      </w:pPr>
      <w:r>
        <w:t xml:space="preserve">4.1 </w:t>
      </w:r>
      <w:r w:rsidR="00340A54">
        <w:t>Entry requirements</w:t>
      </w:r>
    </w:p>
    <w:p w:rsidR="00340A54" w:rsidRDefault="00340A54" w:rsidP="00340A54">
      <w:pPr>
        <w:pStyle w:val="BodyText"/>
      </w:pPr>
      <w:r>
        <w:t xml:space="preserve">Make sure that the candidate meets the basic eligibility for third-cycle education. </w:t>
      </w:r>
      <w:hyperlink r:id="rId13" w:history="1">
        <w:r w:rsidRPr="000D7824">
          <w:rPr>
            <w:rStyle w:val="Hyperlink"/>
          </w:rPr>
          <w:t>According to Chapter 7 of the Higher Education Ordinance,</w:t>
        </w:r>
      </w:hyperlink>
      <w:r>
        <w:t xml:space="preserve"> the candidate must:</w:t>
      </w:r>
    </w:p>
    <w:p w:rsidR="00340A54" w:rsidRPr="001579B3" w:rsidRDefault="00340A54" w:rsidP="00340A54">
      <w:pPr>
        <w:pStyle w:val="Heading2"/>
        <w:rPr>
          <w:b w:val="0"/>
        </w:rPr>
      </w:pPr>
      <w:r>
        <w:t>Meet the</w:t>
      </w:r>
      <w:r w:rsidRPr="00C30728">
        <w:rPr>
          <w:rStyle w:val="BodyTextChar"/>
        </w:rPr>
        <w:t xml:space="preserve"> basic eligibility in accordance with either of the follow</w:t>
      </w:r>
      <w:r>
        <w:rPr>
          <w:rStyle w:val="BodyTextChar"/>
        </w:rPr>
        <w:t>ing:</w:t>
      </w:r>
    </w:p>
    <w:p w:rsidR="00340A54" w:rsidRDefault="00340A54" w:rsidP="00340A54">
      <w:pPr>
        <w:pStyle w:val="BodyText"/>
        <w:numPr>
          <w:ilvl w:val="0"/>
          <w:numId w:val="17"/>
        </w:numPr>
        <w:rPr>
          <w:lang w:val="en"/>
        </w:rPr>
      </w:pPr>
      <w:r w:rsidRPr="00580422">
        <w:rPr>
          <w:lang w:val="en"/>
        </w:rPr>
        <w:t>pas</w:t>
      </w:r>
      <w:r>
        <w:rPr>
          <w:lang w:val="en"/>
        </w:rPr>
        <w:t>sed a degree at advanced level,</w:t>
      </w:r>
    </w:p>
    <w:p w:rsidR="00340A54" w:rsidRDefault="00340A54" w:rsidP="00340A54">
      <w:pPr>
        <w:pStyle w:val="BodyText"/>
        <w:numPr>
          <w:ilvl w:val="0"/>
          <w:numId w:val="17"/>
        </w:numPr>
        <w:rPr>
          <w:lang w:val="en"/>
        </w:rPr>
      </w:pPr>
      <w:r w:rsidRPr="00580422">
        <w:rPr>
          <w:lang w:val="en"/>
        </w:rPr>
        <w:t>Completed course requirements of at least 240 higher education credits, of which at least 60 higher education</w:t>
      </w:r>
      <w:r>
        <w:rPr>
          <w:lang w:val="en"/>
        </w:rPr>
        <w:t xml:space="preserve"> credits at advanced level, or</w:t>
      </w:r>
    </w:p>
    <w:p w:rsidR="00340A54" w:rsidRDefault="00340A54" w:rsidP="00340A54">
      <w:pPr>
        <w:pStyle w:val="BodyText"/>
        <w:numPr>
          <w:ilvl w:val="0"/>
          <w:numId w:val="17"/>
        </w:numPr>
        <w:rPr>
          <w:lang w:val="en"/>
        </w:rPr>
      </w:pPr>
      <w:proofErr w:type="gramStart"/>
      <w:r w:rsidRPr="00580422">
        <w:rPr>
          <w:lang w:val="en"/>
        </w:rPr>
        <w:lastRenderedPageBreak/>
        <w:t>in</w:t>
      </w:r>
      <w:proofErr w:type="gramEnd"/>
      <w:r w:rsidRPr="00580422">
        <w:rPr>
          <w:lang w:val="en"/>
        </w:rPr>
        <w:t xml:space="preserve"> any other way acquired within or outside the country acquired es</w:t>
      </w:r>
      <w:r>
        <w:rPr>
          <w:lang w:val="en"/>
        </w:rPr>
        <w:t>sentially equivalent knowledge.</w:t>
      </w:r>
    </w:p>
    <w:p w:rsidR="00340A54" w:rsidRDefault="00340A54" w:rsidP="00340A54">
      <w:pPr>
        <w:pStyle w:val="Heading2"/>
      </w:pPr>
      <w:r>
        <w:t>Meet the specific entry requirements:</w:t>
      </w:r>
    </w:p>
    <w:p w:rsidR="00340A54" w:rsidRDefault="00340A54" w:rsidP="00340A54">
      <w:pPr>
        <w:pStyle w:val="BodyText"/>
        <w:numPr>
          <w:ilvl w:val="0"/>
          <w:numId w:val="14"/>
        </w:numPr>
        <w:spacing w:line="240" w:lineRule="auto"/>
      </w:pPr>
      <w:proofErr w:type="gramStart"/>
      <w:r>
        <w:t>the</w:t>
      </w:r>
      <w:proofErr w:type="gramEnd"/>
      <w:r>
        <w:t xml:space="preserve"> specific eligibility requirements that KTH may have stated in the subject’s study plan and which also must be included in the advertisement.</w:t>
      </w:r>
    </w:p>
    <w:p w:rsidR="00340A54" w:rsidRDefault="00340A54" w:rsidP="00340A54">
      <w:pPr>
        <w:pStyle w:val="BodyText"/>
        <w:numPr>
          <w:ilvl w:val="0"/>
          <w:numId w:val="16"/>
        </w:numPr>
      </w:pPr>
      <w:r>
        <w:t xml:space="preserve">Rank eligible and ineligible candidates. Further down is a description of the three procedures that you can use in the recruitment system.  </w:t>
      </w:r>
    </w:p>
    <w:p w:rsidR="00340A54" w:rsidRDefault="00A60069" w:rsidP="00340A54">
      <w:pPr>
        <w:pStyle w:val="Heading1"/>
      </w:pPr>
      <w:r>
        <w:t xml:space="preserve">4.2a: </w:t>
      </w:r>
      <w:r w:rsidR="00340A54">
        <w:t>Personal characteristics</w:t>
      </w:r>
    </w:p>
    <w:p w:rsidR="00340A54" w:rsidRDefault="00340A54" w:rsidP="00340A54">
      <w:pPr>
        <w:pStyle w:val="BodyText"/>
      </w:pPr>
      <w:r>
        <w:t xml:space="preserve">Among candidates who meet the basic and specific entry requirements, the selection </w:t>
      </w:r>
      <w:proofErr w:type="gramStart"/>
      <w:r>
        <w:t>should be made</w:t>
      </w:r>
      <w:proofErr w:type="gramEnd"/>
      <w:r>
        <w:t xml:space="preserve"> with consideration to their abi</w:t>
      </w:r>
      <w:r w:rsidRPr="009349C7">
        <w:t>lity</w:t>
      </w:r>
      <w:r w:rsidR="009349C7" w:rsidRPr="009349C7">
        <w:t xml:space="preserve"> candidates’ ability to benefit from studies at doctoral level</w:t>
      </w:r>
      <w:r w:rsidR="00FA49B1">
        <w:t>. According to</w:t>
      </w:r>
      <w:r w:rsidR="00FA49B1" w:rsidRPr="00F57E74">
        <w:rPr>
          <w:lang w:val="en" w:eastAsia="sv-SE"/>
        </w:rPr>
        <w:t xml:space="preserve"> </w:t>
      </w:r>
      <w:hyperlink r:id="rId14" w:history="1">
        <w:r w:rsidR="00FA49B1" w:rsidRPr="00E0240F">
          <w:rPr>
            <w:rStyle w:val="Hyperlink"/>
          </w:rPr>
          <w:t>KTH’s admission regulations (in Swedish)</w:t>
        </w:r>
      </w:hyperlink>
      <w:r>
        <w:t xml:space="preserve">, the primary characteristics to be evaluated when admitting persons to doctoral studies are </w:t>
      </w:r>
      <w:r w:rsidRPr="00B304BB">
        <w:rPr>
          <w:i/>
        </w:rPr>
        <w:t xml:space="preserve">personal </w:t>
      </w:r>
      <w:r>
        <w:rPr>
          <w:i/>
        </w:rPr>
        <w:t>maturity, judgement and capacity for independent critical analysis</w:t>
      </w:r>
      <w:r>
        <w:t xml:space="preserve">. </w:t>
      </w:r>
    </w:p>
    <w:p w:rsidR="00340A54" w:rsidRPr="00EC7607" w:rsidRDefault="00340A54" w:rsidP="00340A54">
      <w:pPr>
        <w:pStyle w:val="BodyText"/>
      </w:pPr>
      <w:r>
        <w:t xml:space="preserve">To ensure that candidates </w:t>
      </w:r>
      <w:proofErr w:type="gramStart"/>
      <w:r>
        <w:t>are assessed</w:t>
      </w:r>
      <w:proofErr w:type="gramEnd"/>
      <w:r>
        <w:t xml:space="preserve"> equally, the KTH HR department has turned these into four personal characteristics based on the competence-based recruitment model:</w:t>
      </w:r>
    </w:p>
    <w:p w:rsidR="00340A54" w:rsidRPr="00B304BB" w:rsidRDefault="00340A54" w:rsidP="00340A54">
      <w:pPr>
        <w:pStyle w:val="BodyText"/>
        <w:numPr>
          <w:ilvl w:val="0"/>
          <w:numId w:val="13"/>
        </w:numPr>
      </w:pPr>
      <w:r w:rsidRPr="00B304BB">
        <w:rPr>
          <w:b/>
        </w:rPr>
        <w:t>A</w:t>
      </w:r>
      <w:r>
        <w:rPr>
          <w:b/>
        </w:rPr>
        <w:t>utonomous</w:t>
      </w:r>
      <w:r>
        <w:t xml:space="preserve"> </w:t>
      </w:r>
      <w:r w:rsidRPr="00B304BB">
        <w:t>(personal maturity, judgement)</w:t>
      </w:r>
      <w:r>
        <w:t xml:space="preserve"> </w:t>
      </w:r>
      <w:r w:rsidRPr="00B304BB">
        <w:t>–</w:t>
      </w:r>
      <w:r>
        <w:t xml:space="preserve"> </w:t>
      </w:r>
      <w:r w:rsidRPr="00B304BB">
        <w:rPr>
          <w:i/>
        </w:rPr>
        <w:t xml:space="preserve">Takes responsibility for own task. Structures own ways of tackling problems and pushes own processes through.  </w:t>
      </w:r>
    </w:p>
    <w:p w:rsidR="00340A54" w:rsidRDefault="00340A54" w:rsidP="00340A54">
      <w:pPr>
        <w:pStyle w:val="BodyText"/>
        <w:numPr>
          <w:ilvl w:val="0"/>
          <w:numId w:val="13"/>
        </w:numPr>
      </w:pPr>
      <w:r w:rsidRPr="00B304BB">
        <w:rPr>
          <w:b/>
        </w:rPr>
        <w:t>Ability to co</w:t>
      </w:r>
      <w:r>
        <w:rPr>
          <w:b/>
        </w:rPr>
        <w:t>-</w:t>
      </w:r>
      <w:r w:rsidRPr="00B304BB">
        <w:rPr>
          <w:b/>
        </w:rPr>
        <w:t xml:space="preserve">operate </w:t>
      </w:r>
      <w:r w:rsidRPr="00B304BB">
        <w:t>(personal maturity, judgement)</w:t>
      </w:r>
      <w:r>
        <w:t xml:space="preserve"> – </w:t>
      </w:r>
      <w:r w:rsidRPr="00B304BB">
        <w:rPr>
          <w:i/>
        </w:rPr>
        <w:t>Works well with other people. Relates to them in a sensitive way. Listens, communicates and solves conflicts constructively</w:t>
      </w:r>
      <w:r>
        <w:rPr>
          <w:i/>
        </w:rPr>
        <w:t>.</w:t>
      </w:r>
    </w:p>
    <w:p w:rsidR="00340A54" w:rsidRPr="00B304BB" w:rsidRDefault="00340A54" w:rsidP="00340A54">
      <w:pPr>
        <w:pStyle w:val="BodyText"/>
        <w:numPr>
          <w:ilvl w:val="0"/>
          <w:numId w:val="13"/>
        </w:numPr>
      </w:pPr>
      <w:r w:rsidRPr="00B304BB">
        <w:rPr>
          <w:b/>
        </w:rPr>
        <w:t>Personal maturity</w:t>
      </w:r>
      <w:r>
        <w:t xml:space="preserve"> </w:t>
      </w:r>
      <w:r w:rsidRPr="00B304BB">
        <w:t>(personal maturity, judgement)</w:t>
      </w:r>
      <w:r>
        <w:t xml:space="preserve"> – </w:t>
      </w:r>
      <w:r w:rsidRPr="00B304BB">
        <w:rPr>
          <w:i/>
        </w:rPr>
        <w:t xml:space="preserve">Is secure, stable and possesses self-knowledge. Sees relations in their right perspectives, and separates the personal from the professional. Adapts own attitude to the situation. </w:t>
      </w:r>
    </w:p>
    <w:p w:rsidR="00340A54" w:rsidRPr="00EC7607" w:rsidRDefault="00340A54" w:rsidP="00340A54">
      <w:pPr>
        <w:pStyle w:val="BodyText"/>
        <w:numPr>
          <w:ilvl w:val="0"/>
          <w:numId w:val="13"/>
        </w:numPr>
      </w:pPr>
      <w:r w:rsidRPr="00B304BB">
        <w:rPr>
          <w:b/>
        </w:rPr>
        <w:t>Problem</w:t>
      </w:r>
      <w:r>
        <w:rPr>
          <w:b/>
        </w:rPr>
        <w:t xml:space="preserve"> </w:t>
      </w:r>
      <w:r w:rsidRPr="00B304BB">
        <w:rPr>
          <w:b/>
        </w:rPr>
        <w:t>solving analytical ability</w:t>
      </w:r>
      <w:r>
        <w:rPr>
          <w:b/>
        </w:rPr>
        <w:t xml:space="preserve"> </w:t>
      </w:r>
      <w:r w:rsidRPr="00B304BB">
        <w:t>(capacity for independent critical</w:t>
      </w:r>
      <w:r>
        <w:t xml:space="preserve"> analysis</w:t>
      </w:r>
      <w:r w:rsidRPr="00B304BB">
        <w:t>)</w:t>
      </w:r>
      <w:r>
        <w:t xml:space="preserve"> –</w:t>
      </w:r>
      <w:r w:rsidRPr="00B304BB">
        <w:rPr>
          <w:i/>
        </w:rPr>
        <w:t xml:space="preserve"> Works well with complex issues. Analyses and breaks down problems to its components and solves complicated problems.</w:t>
      </w:r>
    </w:p>
    <w:p w:rsidR="00340A54" w:rsidRDefault="00340A54" w:rsidP="00340A54">
      <w:pPr>
        <w:pStyle w:val="BodyText"/>
      </w:pPr>
      <w:r>
        <w:t xml:space="preserve">In addition to KTH’s four pre-selected competences for doctoral studies admission above, additional personal characteristics </w:t>
      </w:r>
      <w:proofErr w:type="gramStart"/>
      <w:r>
        <w:t>can be added, and specified in the advertisement</w:t>
      </w:r>
      <w:proofErr w:type="gramEnd"/>
      <w:r>
        <w:t>.</w:t>
      </w:r>
    </w:p>
    <w:p w:rsidR="00340A54" w:rsidRDefault="00340A54" w:rsidP="00340A54">
      <w:pPr>
        <w:pStyle w:val="BodyText"/>
        <w:numPr>
          <w:ilvl w:val="0"/>
          <w:numId w:val="15"/>
        </w:numPr>
      </w:pPr>
      <w:r>
        <w:t xml:space="preserve">The personal characteristics </w:t>
      </w:r>
      <w:proofErr w:type="gramStart"/>
      <w:r>
        <w:t>are mainly evaluated</w:t>
      </w:r>
      <w:proofErr w:type="gramEnd"/>
      <w:r>
        <w:t xml:space="preserve"> in the competence-based interview but can also be described in the application documents. </w:t>
      </w:r>
    </w:p>
    <w:p w:rsidR="00340A54" w:rsidRDefault="00340A54" w:rsidP="00340A54">
      <w:pPr>
        <w:pStyle w:val="BodyText"/>
      </w:pPr>
      <w:r>
        <w:rPr>
          <w:u w:val="single"/>
        </w:rPr>
        <w:t>Remember</w:t>
      </w:r>
      <w:r>
        <w:t>: Before making a selection and holding interviews, the recruitment group needs to understand the definition of each respective personal characteristic, and what is means in the specific role/position. The recruitment group also needs to agree on which personal characteristics are most important.</w:t>
      </w:r>
    </w:p>
    <w:p w:rsidR="00340A54" w:rsidRDefault="00A60069" w:rsidP="000B5240">
      <w:pPr>
        <w:pStyle w:val="KTHTitel"/>
      </w:pPr>
      <w:r>
        <w:t xml:space="preserve">4.2b: </w:t>
      </w:r>
      <w:r w:rsidR="000B5240">
        <w:rPr>
          <w:lang/>
        </w:rPr>
        <w:t>M</w:t>
      </w:r>
      <w:r w:rsidR="000B5240">
        <w:rPr>
          <w:lang/>
        </w:rPr>
        <w:t xml:space="preserve">eritorious knowledge and qualities </w:t>
      </w:r>
    </w:p>
    <w:p w:rsidR="00340A54" w:rsidRDefault="00340A54" w:rsidP="00340A54">
      <w:pPr>
        <w:pStyle w:val="BodyText"/>
      </w:pPr>
      <w:r>
        <w:t>In addition to basic and specific eligibi</w:t>
      </w:r>
      <w:r w:rsidR="004D4AC8">
        <w:t>lity requirements and personal qualities</w:t>
      </w:r>
      <w:r>
        <w:t xml:space="preserve">, there are other </w:t>
      </w:r>
      <w:r w:rsidR="004D4AC8">
        <w:t xml:space="preserve">experience, qualities or skills </w:t>
      </w:r>
      <w:proofErr w:type="gramStart"/>
      <w:r w:rsidR="004D4AC8">
        <w:t>that are desirable</w:t>
      </w:r>
      <w:r>
        <w:t xml:space="preserve"> but which are no</w:t>
      </w:r>
      <w:r w:rsidR="009412E4">
        <w:t>t</w:t>
      </w:r>
      <w:r>
        <w:t xml:space="preserve"> a requirement for eligibility</w:t>
      </w:r>
      <w:proofErr w:type="gramEnd"/>
      <w:r>
        <w:t xml:space="preserve">. These </w:t>
      </w:r>
      <w:proofErr w:type="gramStart"/>
      <w:r>
        <w:t>are referred</w:t>
      </w:r>
      <w:proofErr w:type="gramEnd"/>
      <w:r>
        <w:t xml:space="preserve"> to </w:t>
      </w:r>
      <w:r w:rsidRPr="004D4AC8">
        <w:t xml:space="preserve">as </w:t>
      </w:r>
      <w:r w:rsidR="000B5240" w:rsidRPr="000B5240">
        <w:t>me</w:t>
      </w:r>
      <w:bookmarkStart w:id="0" w:name="_GoBack"/>
      <w:bookmarkEnd w:id="0"/>
      <w:r w:rsidR="000B5240" w:rsidRPr="000B5240">
        <w:t>ritorious knowledge and experience</w:t>
      </w:r>
      <w:r>
        <w:t>.</w:t>
      </w:r>
    </w:p>
    <w:p w:rsidR="00340A54" w:rsidRDefault="00340A54" w:rsidP="00340A54">
      <w:pPr>
        <w:pStyle w:val="BodyText"/>
      </w:pPr>
      <w:r>
        <w:t>The advertisement specifies what the</w:t>
      </w:r>
      <w:r w:rsidR="000B5240" w:rsidRPr="000B5240">
        <w:rPr>
          <w:color w:val="262626"/>
          <w:sz w:val="15"/>
          <w:szCs w:val="15"/>
          <w:lang/>
        </w:rPr>
        <w:t xml:space="preserve"> </w:t>
      </w:r>
      <w:r w:rsidR="000B5240" w:rsidRPr="000B5240">
        <w:t>meritorious knowledge and experience</w:t>
      </w:r>
      <w:r>
        <w:t xml:space="preserve"> are for the position in question. </w:t>
      </w:r>
    </w:p>
    <w:p w:rsidR="00340A54" w:rsidRDefault="00340A54" w:rsidP="00340A54">
      <w:pPr>
        <w:pStyle w:val="BodyText"/>
        <w:numPr>
          <w:ilvl w:val="0"/>
          <w:numId w:val="15"/>
        </w:numPr>
      </w:pPr>
      <w:r>
        <w:lastRenderedPageBreak/>
        <w:t xml:space="preserve">Rank the candidates based on how well they match the list of </w:t>
      </w:r>
      <w:r w:rsidR="000B5240" w:rsidRPr="000B5240">
        <w:t>meritorious knowledge and experience</w:t>
      </w:r>
      <w:r>
        <w:t xml:space="preserve">. Below is a description of the three procedures that you can use in the recruitment system.  </w:t>
      </w:r>
    </w:p>
    <w:p w:rsidR="00340A54" w:rsidRDefault="00340A54" w:rsidP="00340A54">
      <w:pPr>
        <w:pStyle w:val="BodyText"/>
      </w:pPr>
      <w:r>
        <w:rPr>
          <w:u w:val="single"/>
        </w:rPr>
        <w:t>Remember</w:t>
      </w:r>
      <w:r>
        <w:t xml:space="preserve">: Before selection begins, the recruitment group needs to agree on what </w:t>
      </w:r>
      <w:r w:rsidR="000B5240" w:rsidRPr="000B5240">
        <w:t>meritorious knowledge and experience</w:t>
      </w:r>
      <w:r w:rsidR="000B5240">
        <w:t xml:space="preserve"> </w:t>
      </w:r>
      <w:proofErr w:type="spellStart"/>
      <w:r>
        <w:t>experience</w:t>
      </w:r>
      <w:proofErr w:type="spellEnd"/>
      <w:r>
        <w:t xml:space="preserve"> are most important.</w:t>
      </w:r>
    </w:p>
    <w:p w:rsidR="00340A54" w:rsidRDefault="00340A54" w:rsidP="00340A54">
      <w:pPr>
        <w:pStyle w:val="Heading1"/>
      </w:pPr>
      <w:r>
        <w:t>Telephone calls and personal interviews</w:t>
      </w:r>
    </w:p>
    <w:p w:rsidR="00340A54" w:rsidRDefault="00340A54" w:rsidP="00340A54">
      <w:pPr>
        <w:pStyle w:val="ListBullet"/>
        <w:numPr>
          <w:ilvl w:val="0"/>
          <w:numId w:val="0"/>
        </w:numPr>
        <w:spacing w:before="40" w:after="40"/>
        <w:rPr>
          <w:rFonts w:ascii="Times New Roman" w:hAnsi="Times New Roman" w:cs="Times New Roman"/>
          <w:sz w:val="24"/>
          <w:szCs w:val="24"/>
        </w:rPr>
      </w:pPr>
      <w:r>
        <w:rPr>
          <w:rFonts w:ascii="Times New Roman" w:hAnsi="Times New Roman"/>
          <w:sz w:val="24"/>
          <w:szCs w:val="24"/>
        </w:rPr>
        <w:t xml:space="preserve">The interesting candidates </w:t>
      </w:r>
      <w:proofErr w:type="gramStart"/>
      <w:r>
        <w:rPr>
          <w:rFonts w:ascii="Times New Roman" w:hAnsi="Times New Roman"/>
          <w:sz w:val="24"/>
          <w:szCs w:val="24"/>
        </w:rPr>
        <w:t>are called up</w:t>
      </w:r>
      <w:proofErr w:type="gramEnd"/>
      <w:r>
        <w:rPr>
          <w:rFonts w:ascii="Times New Roman" w:hAnsi="Times New Roman"/>
          <w:sz w:val="24"/>
          <w:szCs w:val="24"/>
        </w:rPr>
        <w:t xml:space="preserve"> for an initial discussion and the chosen candidates are then invited to personal interviews, either in person or by Skype.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340A54" w:rsidRPr="00B3185F" w:rsidTr="000D45F8">
        <w:trPr>
          <w:tblHeader/>
        </w:trPr>
        <w:tc>
          <w:tcPr>
            <w:tcW w:w="8755" w:type="dxa"/>
            <w:tcBorders>
              <w:bottom w:val="single" w:sz="4" w:space="0" w:color="auto"/>
            </w:tcBorders>
            <w:shd w:val="clear" w:color="auto" w:fill="auto"/>
          </w:tcPr>
          <w:p w:rsidR="00340A54" w:rsidRDefault="00340A54" w:rsidP="000D45F8">
            <w:pPr>
              <w:pStyle w:val="Heading1"/>
            </w:pPr>
            <w:r>
              <w:lastRenderedPageBreak/>
              <w:t>Ranking the candidates</w:t>
            </w:r>
          </w:p>
          <w:p w:rsidR="00340A54" w:rsidRDefault="00340A54" w:rsidP="000D45F8">
            <w:pPr>
              <w:pStyle w:val="BodyText"/>
            </w:pPr>
            <w:r>
              <w:t>The recruitment system offers three ways of ranking the candidates.</w:t>
            </w:r>
          </w:p>
          <w:p w:rsidR="00340A54" w:rsidRDefault="00340A54" w:rsidP="000D45F8">
            <w:pPr>
              <w:pStyle w:val="BodyText"/>
            </w:pPr>
            <w:r>
              <w:rPr>
                <w:noProof/>
                <w:lang w:val="sv-SE" w:eastAsia="sv-SE"/>
              </w:rPr>
              <mc:AlternateContent>
                <mc:Choice Requires="wps">
                  <w:drawing>
                    <wp:anchor distT="0" distB="0" distL="114300" distR="114300" simplePos="0" relativeHeight="251660288" behindDoc="0" locked="0" layoutInCell="1" allowOverlap="1" wp14:anchorId="6E393F5F" wp14:editId="25411A2C">
                      <wp:simplePos x="0" y="0"/>
                      <wp:positionH relativeFrom="column">
                        <wp:posOffset>3074035</wp:posOffset>
                      </wp:positionH>
                      <wp:positionV relativeFrom="paragraph">
                        <wp:posOffset>300355</wp:posOffset>
                      </wp:positionV>
                      <wp:extent cx="203835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38350" cy="552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DF933" id="Rectangle 5" o:spid="_x0000_s1026" style="position:absolute;margin-left:242.05pt;margin-top:23.65pt;width:16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" filled="f" strokecolor="black [3213]" strokeweight="1.5pt"/>
                  </w:pict>
                </mc:Fallback>
              </mc:AlternateContent>
            </w:r>
            <w:r>
              <w:rPr>
                <w:noProof/>
                <w:lang w:val="sv-SE" w:eastAsia="sv-SE"/>
              </w:rPr>
              <w:drawing>
                <wp:inline distT="0" distB="0" distL="0" distR="0" wp14:anchorId="4D95CACC" wp14:editId="0691D286">
                  <wp:extent cx="5422265" cy="78613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2265" cy="786130"/>
                          </a:xfrm>
                          <a:prstGeom prst="rect">
                            <a:avLst/>
                          </a:prstGeom>
                        </pic:spPr>
                      </pic:pic>
                    </a:graphicData>
                  </a:graphic>
                </wp:inline>
              </w:drawing>
            </w:r>
          </w:p>
          <w:p w:rsidR="00340A54" w:rsidRPr="00963E0F" w:rsidRDefault="00340A54" w:rsidP="000D45F8">
            <w:pPr>
              <w:pStyle w:val="Heading2"/>
            </w:pPr>
            <w:r>
              <w:t>Status</w:t>
            </w:r>
          </w:p>
          <w:p w:rsidR="00340A54" w:rsidRDefault="00340A54" w:rsidP="000D45F8">
            <w:pPr>
              <w:pStyle w:val="BodyText"/>
            </w:pPr>
            <w:r>
              <w:t xml:space="preserve">Using status marking is the easiest way to rank and mark the candidates. Each candidate has their eligibility and ability to make use of the education marked with one of the following statuses:  </w:t>
            </w:r>
          </w:p>
          <w:p w:rsidR="00340A54" w:rsidRPr="009C2141" w:rsidRDefault="00340A54" w:rsidP="000D45F8">
            <w:pPr>
              <w:pStyle w:val="ListBullet"/>
              <w:numPr>
                <w:ilvl w:val="0"/>
                <w:numId w:val="0"/>
              </w:numPr>
              <w:rPr>
                <w:rFonts w:ascii="Times New Roman" w:hAnsi="Times New Roman" w:cs="Times New Roman"/>
                <w:b/>
                <w:color w:val="129221"/>
                <w:sz w:val="24"/>
                <w:szCs w:val="24"/>
              </w:rPr>
            </w:pPr>
            <w:r>
              <w:rPr>
                <w:rFonts w:ascii="Times New Roman" w:hAnsi="Times New Roman"/>
                <w:b/>
                <w:color w:val="129221"/>
                <w:sz w:val="24"/>
                <w:szCs w:val="24"/>
              </w:rPr>
              <w:t>Very interested</w:t>
            </w:r>
          </w:p>
          <w:p w:rsidR="00340A54" w:rsidRPr="009C2141" w:rsidRDefault="00340A54" w:rsidP="000D45F8">
            <w:pPr>
              <w:pStyle w:val="ListBullet"/>
              <w:numPr>
                <w:ilvl w:val="0"/>
                <w:numId w:val="0"/>
              </w:numPr>
              <w:rPr>
                <w:rFonts w:ascii="Times New Roman" w:hAnsi="Times New Roman" w:cs="Times New Roman"/>
                <w:b/>
                <w:color w:val="129221"/>
                <w:sz w:val="24"/>
                <w:szCs w:val="24"/>
              </w:rPr>
            </w:pPr>
            <w:r>
              <w:rPr>
                <w:rFonts w:ascii="Times New Roman" w:hAnsi="Times New Roman"/>
                <w:b/>
                <w:color w:val="129221"/>
                <w:sz w:val="24"/>
                <w:szCs w:val="24"/>
              </w:rPr>
              <w:t>Interesting</w:t>
            </w:r>
          </w:p>
          <w:p w:rsidR="00340A54" w:rsidRPr="009C2141" w:rsidRDefault="00340A54" w:rsidP="000D45F8">
            <w:pPr>
              <w:pStyle w:val="ListBullet"/>
              <w:numPr>
                <w:ilvl w:val="0"/>
                <w:numId w:val="0"/>
              </w:numPr>
              <w:rPr>
                <w:rFonts w:ascii="Times New Roman" w:hAnsi="Times New Roman" w:cs="Times New Roman"/>
                <w:b/>
                <w:color w:val="FAB919" w:themeColor="accent6"/>
                <w:sz w:val="24"/>
                <w:szCs w:val="24"/>
              </w:rPr>
            </w:pPr>
            <w:r>
              <w:rPr>
                <w:rFonts w:ascii="Times New Roman" w:hAnsi="Times New Roman"/>
                <w:b/>
                <w:color w:val="FAB919" w:themeColor="accent6"/>
                <w:sz w:val="24"/>
                <w:szCs w:val="24"/>
              </w:rPr>
              <w:t xml:space="preserve">Maybe interesting </w:t>
            </w:r>
          </w:p>
          <w:p w:rsidR="00340A54" w:rsidRPr="009C2141" w:rsidRDefault="00340A54" w:rsidP="000D45F8">
            <w:pPr>
              <w:pStyle w:val="ListBullet"/>
              <w:numPr>
                <w:ilvl w:val="0"/>
                <w:numId w:val="0"/>
              </w:numPr>
              <w:rPr>
                <w:rFonts w:ascii="Times New Roman" w:hAnsi="Times New Roman" w:cs="Times New Roman"/>
                <w:b/>
                <w:sz w:val="24"/>
                <w:szCs w:val="24"/>
              </w:rPr>
            </w:pPr>
            <w:r>
              <w:rPr>
                <w:rFonts w:ascii="Times New Roman" w:hAnsi="Times New Roman"/>
                <w:b/>
                <w:color w:val="FF0000"/>
                <w:sz w:val="24"/>
                <w:szCs w:val="24"/>
              </w:rPr>
              <w:t xml:space="preserve">Not interesting </w:t>
            </w:r>
            <w:r>
              <w:rPr>
                <w:rStyle w:val="BodyTextChar"/>
              </w:rPr>
              <w:t>(not eligible)</w:t>
            </w:r>
          </w:p>
          <w:p w:rsidR="00340A54" w:rsidRDefault="00340A54" w:rsidP="000D45F8">
            <w:pPr>
              <w:pStyle w:val="ListBullet"/>
              <w:numPr>
                <w:ilvl w:val="0"/>
                <w:numId w:val="0"/>
              </w:numPr>
              <w:rPr>
                <w:rFonts w:ascii="Times New Roman" w:hAnsi="Times New Roman" w:cs="Times New Roman"/>
                <w:sz w:val="24"/>
                <w:szCs w:val="24"/>
              </w:rPr>
            </w:pPr>
          </w:p>
          <w:p w:rsidR="00340A54" w:rsidRDefault="00340A54" w:rsidP="000D45F8">
            <w:pPr>
              <w:pStyle w:val="ListBullet"/>
              <w:numPr>
                <w:ilvl w:val="0"/>
                <w:numId w:val="0"/>
              </w:numPr>
              <w:spacing w:before="40" w:after="40"/>
              <w:rPr>
                <w:rFonts w:ascii="Times New Roman" w:hAnsi="Times New Roman" w:cs="Times New Roman"/>
                <w:sz w:val="24"/>
                <w:szCs w:val="24"/>
              </w:rPr>
            </w:pPr>
            <w:r>
              <w:rPr>
                <w:rStyle w:val="BodyTextChar"/>
              </w:rPr>
              <w:t>The candidates are then marked according to if they have been contacted by phone or had a personal interview</w:t>
            </w:r>
            <w:r>
              <w:rPr>
                <w:rFonts w:ascii="Times New Roman" w:hAnsi="Times New Roman"/>
                <w:sz w:val="24"/>
                <w:szCs w:val="24"/>
              </w:rPr>
              <w:t xml:space="preserve">: </w:t>
            </w:r>
          </w:p>
          <w:p w:rsidR="00340A54" w:rsidRDefault="00340A54" w:rsidP="000D45F8">
            <w:pPr>
              <w:pStyle w:val="ListBullet"/>
              <w:numPr>
                <w:ilvl w:val="0"/>
                <w:numId w:val="0"/>
              </w:numPr>
              <w:rPr>
                <w:rFonts w:ascii="Times New Roman" w:hAnsi="Times New Roman" w:cs="Times New Roman"/>
                <w:sz w:val="24"/>
                <w:szCs w:val="24"/>
              </w:rPr>
            </w:pPr>
            <w:r>
              <w:rPr>
                <w:rFonts w:ascii="Times New Roman" w:hAnsi="Times New Roman"/>
                <w:sz w:val="24"/>
                <w:szCs w:val="24"/>
              </w:rPr>
              <w:t xml:space="preserve"> </w:t>
            </w:r>
          </w:p>
          <w:p w:rsidR="00340A54" w:rsidRPr="009C2141" w:rsidRDefault="00340A54" w:rsidP="000D45F8">
            <w:pPr>
              <w:pStyle w:val="ListBullet"/>
              <w:numPr>
                <w:ilvl w:val="0"/>
                <w:numId w:val="0"/>
              </w:numPr>
              <w:rPr>
                <w:rFonts w:ascii="Times New Roman" w:hAnsi="Times New Roman" w:cs="Times New Roman"/>
                <w:b/>
                <w:color w:val="129221"/>
                <w:sz w:val="24"/>
                <w:szCs w:val="24"/>
              </w:rPr>
            </w:pPr>
            <w:r>
              <w:rPr>
                <w:rFonts w:ascii="Times New Roman" w:hAnsi="Times New Roman"/>
                <w:b/>
                <w:color w:val="129221"/>
                <w:sz w:val="24"/>
                <w:szCs w:val="24"/>
              </w:rPr>
              <w:t>Contacted</w:t>
            </w:r>
          </w:p>
          <w:p w:rsidR="00340A54" w:rsidRPr="009C2141" w:rsidRDefault="00340A54" w:rsidP="000D45F8">
            <w:pPr>
              <w:pStyle w:val="ListBullet"/>
              <w:numPr>
                <w:ilvl w:val="0"/>
                <w:numId w:val="0"/>
              </w:numPr>
              <w:rPr>
                <w:rFonts w:ascii="Times New Roman" w:hAnsi="Times New Roman" w:cs="Times New Roman"/>
                <w:b/>
                <w:color w:val="129221"/>
                <w:sz w:val="24"/>
                <w:szCs w:val="24"/>
              </w:rPr>
            </w:pPr>
            <w:r>
              <w:rPr>
                <w:rFonts w:ascii="Times New Roman" w:hAnsi="Times New Roman"/>
                <w:b/>
                <w:color w:val="129221"/>
                <w:sz w:val="24"/>
                <w:szCs w:val="24"/>
              </w:rPr>
              <w:t xml:space="preserve">Interview </w:t>
            </w:r>
          </w:p>
          <w:p w:rsidR="00340A54" w:rsidRDefault="00340A54" w:rsidP="000D45F8">
            <w:pPr>
              <w:pStyle w:val="ListBullet"/>
              <w:numPr>
                <w:ilvl w:val="0"/>
                <w:numId w:val="0"/>
              </w:numPr>
              <w:rPr>
                <w:rFonts w:ascii="Times New Roman" w:hAnsi="Times New Roman" w:cs="Times New Roman"/>
                <w:b/>
                <w:color w:val="00B050"/>
                <w:sz w:val="24"/>
                <w:szCs w:val="24"/>
              </w:rPr>
            </w:pPr>
          </w:p>
          <w:p w:rsidR="00340A54" w:rsidRDefault="00340A54" w:rsidP="000D45F8">
            <w:pPr>
              <w:pStyle w:val="BodyText"/>
            </w:pPr>
            <w:r>
              <w:t>Finally, the current status is selected:</w:t>
            </w:r>
          </w:p>
          <w:p w:rsidR="00340A54" w:rsidRPr="009C2141" w:rsidRDefault="00340A54" w:rsidP="000D45F8">
            <w:pPr>
              <w:pStyle w:val="BodyText"/>
              <w:spacing w:after="0" w:line="240" w:lineRule="auto"/>
              <w:rPr>
                <w:rFonts w:ascii="Times New Roman" w:hAnsi="Times New Roman" w:cs="Times New Roman"/>
                <w:b/>
                <w:color w:val="129221"/>
                <w:sz w:val="24"/>
              </w:rPr>
            </w:pPr>
            <w:r>
              <w:rPr>
                <w:rFonts w:ascii="Times New Roman" w:hAnsi="Times New Roman"/>
                <w:b/>
                <w:color w:val="129221"/>
                <w:sz w:val="24"/>
              </w:rPr>
              <w:t>Interview 2</w:t>
            </w:r>
          </w:p>
          <w:p w:rsidR="00340A54" w:rsidRPr="009C2141" w:rsidRDefault="00340A54" w:rsidP="000D45F8">
            <w:pPr>
              <w:pStyle w:val="BodyText"/>
              <w:spacing w:after="0" w:line="240" w:lineRule="auto"/>
              <w:rPr>
                <w:rFonts w:ascii="Times New Roman" w:hAnsi="Times New Roman" w:cs="Times New Roman"/>
                <w:b/>
                <w:color w:val="129221"/>
                <w:sz w:val="24"/>
              </w:rPr>
            </w:pPr>
            <w:r>
              <w:rPr>
                <w:rFonts w:ascii="Times New Roman" w:hAnsi="Times New Roman"/>
                <w:b/>
                <w:color w:val="129221"/>
                <w:sz w:val="24"/>
              </w:rPr>
              <w:t>Testing</w:t>
            </w:r>
          </w:p>
          <w:p w:rsidR="00340A54" w:rsidRDefault="00340A54" w:rsidP="000D45F8">
            <w:pPr>
              <w:pStyle w:val="BodyText"/>
              <w:spacing w:after="0" w:line="240" w:lineRule="auto"/>
              <w:rPr>
                <w:rFonts w:ascii="Times New Roman" w:hAnsi="Times New Roman" w:cs="Times New Roman"/>
                <w:b/>
                <w:color w:val="129221"/>
                <w:sz w:val="24"/>
              </w:rPr>
            </w:pPr>
            <w:r>
              <w:rPr>
                <w:noProof/>
                <w:lang w:val="sv-SE" w:eastAsia="sv-SE"/>
              </w:rPr>
              <w:drawing>
                <wp:anchor distT="0" distB="0" distL="114300" distR="114300" simplePos="0" relativeHeight="251659264" behindDoc="0" locked="0" layoutInCell="1" allowOverlap="1" wp14:anchorId="23460D10" wp14:editId="516FE2FF">
                  <wp:simplePos x="0" y="0"/>
                  <wp:positionH relativeFrom="margin">
                    <wp:posOffset>4627245</wp:posOffset>
                  </wp:positionH>
                  <wp:positionV relativeFrom="margin">
                    <wp:posOffset>5232400</wp:posOffset>
                  </wp:positionV>
                  <wp:extent cx="686435" cy="2292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6435" cy="22929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color w:val="129221"/>
                <w:sz w:val="24"/>
              </w:rPr>
              <w:t>Referrals taken</w:t>
            </w:r>
          </w:p>
          <w:p w:rsidR="00340A54" w:rsidRDefault="00340A54" w:rsidP="000D45F8">
            <w:pPr>
              <w:pStyle w:val="BodyText"/>
              <w:spacing w:after="0" w:line="240" w:lineRule="auto"/>
              <w:rPr>
                <w:rFonts w:ascii="Times New Roman" w:hAnsi="Times New Roman" w:cs="Times New Roman"/>
                <w:b/>
                <w:color w:val="129221"/>
                <w:sz w:val="24"/>
              </w:rPr>
            </w:pPr>
            <w:r>
              <w:rPr>
                <w:rFonts w:ascii="Times New Roman" w:hAnsi="Times New Roman"/>
                <w:b/>
                <w:color w:val="129221"/>
                <w:sz w:val="24"/>
              </w:rPr>
              <w:t>Offered employment</w:t>
            </w:r>
          </w:p>
          <w:p w:rsidR="00340A54" w:rsidRPr="003B3800" w:rsidRDefault="00340A54" w:rsidP="000D45F8">
            <w:pPr>
              <w:pStyle w:val="BodyText"/>
              <w:spacing w:after="0" w:line="240" w:lineRule="auto"/>
            </w:pPr>
            <w:r>
              <w:rPr>
                <w:rFonts w:ascii="Times New Roman" w:hAnsi="Times New Roman"/>
                <w:b/>
                <w:color w:val="129221"/>
                <w:sz w:val="24"/>
              </w:rPr>
              <w:t>Employed</w:t>
            </w:r>
          </w:p>
          <w:p w:rsidR="00340A54" w:rsidRPr="006A02FC" w:rsidRDefault="00340A54" w:rsidP="000D45F8">
            <w:pPr>
              <w:pStyle w:val="Heading2"/>
            </w:pPr>
            <w:r>
              <w:t>Highlighting</w:t>
            </w:r>
          </w:p>
          <w:p w:rsidR="00340A54" w:rsidRPr="009C2141" w:rsidRDefault="00340A54" w:rsidP="000D45F8">
            <w:pPr>
              <w:pStyle w:val="ListBullet"/>
              <w:numPr>
                <w:ilvl w:val="0"/>
                <w:numId w:val="0"/>
              </w:numPr>
              <w:spacing w:before="40" w:after="40"/>
              <w:rPr>
                <w:rFonts w:ascii="Times New Roman" w:hAnsi="Times New Roman" w:cs="Times New Roman"/>
                <w:sz w:val="24"/>
                <w:szCs w:val="24"/>
              </w:rPr>
            </w:pPr>
            <w:r>
              <w:rPr>
                <w:rFonts w:ascii="Times New Roman" w:hAnsi="Times New Roman"/>
                <w:sz w:val="24"/>
                <w:szCs w:val="24"/>
              </w:rPr>
              <w:t xml:space="preserve">There are 15 </w:t>
            </w:r>
            <w:proofErr w:type="gramStart"/>
            <w:r>
              <w:rPr>
                <w:rFonts w:ascii="Times New Roman" w:hAnsi="Times New Roman"/>
                <w:sz w:val="24"/>
                <w:szCs w:val="24"/>
              </w:rPr>
              <w:t>colours which</w:t>
            </w:r>
            <w:proofErr w:type="gramEnd"/>
            <w:r>
              <w:rPr>
                <w:rFonts w:ascii="Times New Roman" w:hAnsi="Times New Roman"/>
                <w:sz w:val="24"/>
                <w:szCs w:val="24"/>
              </w:rPr>
              <w:t xml:space="preserve"> can be used to mark the candidates. Those who review the application documents need to agree on what each colour signifies. </w:t>
            </w:r>
          </w:p>
          <w:p w:rsidR="00340A54" w:rsidRDefault="00340A54" w:rsidP="000D45F8">
            <w:pPr>
              <w:pStyle w:val="Heading2"/>
            </w:pPr>
            <w:r>
              <w:t>Points</w:t>
            </w:r>
          </w:p>
          <w:p w:rsidR="00340A54" w:rsidRPr="00963E0F" w:rsidRDefault="00340A54" w:rsidP="000D45F8">
            <w:pPr>
              <w:pStyle w:val="BodyText"/>
            </w:pPr>
            <w:r>
              <w:t xml:space="preserve">When using points, the characteristics and experience </w:t>
            </w:r>
            <w:proofErr w:type="gramStart"/>
            <w:r>
              <w:t>should be given</w:t>
            </w:r>
            <w:proofErr w:type="gramEnd"/>
            <w:r>
              <w:t xml:space="preserve"> points from the start. The scale is 1-100.</w:t>
            </w:r>
          </w:p>
        </w:tc>
      </w:tr>
      <w:tr w:rsidR="00340A54" w:rsidRPr="00B3185F" w:rsidTr="000D45F8">
        <w:trPr>
          <w:tblHeader/>
        </w:trPr>
        <w:tc>
          <w:tcPr>
            <w:tcW w:w="8755" w:type="dxa"/>
            <w:tcBorders>
              <w:left w:val="nil"/>
              <w:bottom w:val="nil"/>
              <w:right w:val="nil"/>
            </w:tcBorders>
            <w:shd w:val="clear" w:color="auto" w:fill="auto"/>
          </w:tcPr>
          <w:p w:rsidR="00340A54" w:rsidRDefault="00340A54" w:rsidP="000D45F8">
            <w:pPr>
              <w:pStyle w:val="BodyText"/>
              <w:rPr>
                <w:rFonts w:asciiTheme="majorHAnsi" w:eastAsiaTheme="majorEastAsia" w:hAnsiTheme="majorHAnsi" w:cstheme="majorBidi"/>
                <w:b/>
                <w:bCs/>
                <w:sz w:val="24"/>
                <w:szCs w:val="28"/>
              </w:rPr>
            </w:pPr>
          </w:p>
          <w:p w:rsidR="00340A54" w:rsidRPr="003A1A29" w:rsidRDefault="00340A54" w:rsidP="000D45F8">
            <w:pPr>
              <w:pStyle w:val="BodyText"/>
            </w:pPr>
          </w:p>
        </w:tc>
      </w:tr>
      <w:tr w:rsidR="00340A54" w:rsidRPr="00B3185F" w:rsidTr="000D45F8">
        <w:trPr>
          <w:tblHeader/>
        </w:trPr>
        <w:tc>
          <w:tcPr>
            <w:tcW w:w="8755" w:type="dxa"/>
            <w:tcBorders>
              <w:top w:val="nil"/>
              <w:left w:val="nil"/>
              <w:bottom w:val="nil"/>
              <w:right w:val="nil"/>
            </w:tcBorders>
            <w:shd w:val="clear" w:color="auto" w:fill="auto"/>
          </w:tcPr>
          <w:p w:rsidR="00340A54" w:rsidRDefault="00340A54" w:rsidP="000D45F8">
            <w:pPr>
              <w:pStyle w:val="Heading1"/>
            </w:pPr>
          </w:p>
        </w:tc>
      </w:tr>
    </w:tbl>
    <w:p w:rsidR="00981197" w:rsidRPr="00C33F81" w:rsidRDefault="00981197" w:rsidP="001741B3"/>
    <w:sectPr w:rsidR="00981197" w:rsidRPr="00C33F8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54" w:rsidRDefault="00340A54" w:rsidP="00AB37AC">
      <w:r>
        <w:separator/>
      </w:r>
    </w:p>
  </w:endnote>
  <w:endnote w:type="continuationSeparator" w:id="0">
    <w:p w:rsidR="00340A54" w:rsidRDefault="00340A54"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54" w:rsidRDefault="00340A54" w:rsidP="00AB37AC">
      <w:r>
        <w:separator/>
      </w:r>
    </w:p>
  </w:footnote>
  <w:footnote w:type="continuationSeparator" w:id="0">
    <w:p w:rsidR="00340A54" w:rsidRDefault="00340A54"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5345600"/>
    <w:multiLevelType w:val="hybridMultilevel"/>
    <w:tmpl w:val="E6781988"/>
    <w:lvl w:ilvl="0" w:tplc="75E20238">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5778E2"/>
    <w:multiLevelType w:val="hybridMultilevel"/>
    <w:tmpl w:val="8D603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EE4864"/>
    <w:multiLevelType w:val="hybridMultilevel"/>
    <w:tmpl w:val="567AEDBE"/>
    <w:lvl w:ilvl="0" w:tplc="7A48946C">
      <w:start w:val="4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A34F12"/>
    <w:multiLevelType w:val="hybridMultilevel"/>
    <w:tmpl w:val="7C229F9C"/>
    <w:lvl w:ilvl="0" w:tplc="E1285EFC">
      <w:start w:val="4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D331BE"/>
    <w:multiLevelType w:val="hybridMultilevel"/>
    <w:tmpl w:val="DDA22B3E"/>
    <w:lvl w:ilvl="0" w:tplc="75E20238">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12"/>
  </w:num>
  <w:num w:numId="5">
    <w:abstractNumId w:val="3"/>
  </w:num>
  <w:num w:numId="6">
    <w:abstractNumId w:val="2"/>
  </w:num>
  <w:num w:numId="7">
    <w:abstractNumId w:val="4"/>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5"/>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54"/>
    <w:rsid w:val="00037A26"/>
    <w:rsid w:val="000B4D37"/>
    <w:rsid w:val="000B5240"/>
    <w:rsid w:val="000E0B56"/>
    <w:rsid w:val="000F0D78"/>
    <w:rsid w:val="001621F9"/>
    <w:rsid w:val="001741B3"/>
    <w:rsid w:val="0018642A"/>
    <w:rsid w:val="001F3547"/>
    <w:rsid w:val="002A115A"/>
    <w:rsid w:val="002E47D4"/>
    <w:rsid w:val="00310604"/>
    <w:rsid w:val="00340A54"/>
    <w:rsid w:val="00383258"/>
    <w:rsid w:val="003A221F"/>
    <w:rsid w:val="003B55F6"/>
    <w:rsid w:val="003D5E50"/>
    <w:rsid w:val="00484AB4"/>
    <w:rsid w:val="004A3440"/>
    <w:rsid w:val="004B3394"/>
    <w:rsid w:val="004D4AC8"/>
    <w:rsid w:val="004F684C"/>
    <w:rsid w:val="00516DE4"/>
    <w:rsid w:val="00523FF5"/>
    <w:rsid w:val="00547786"/>
    <w:rsid w:val="00547E65"/>
    <w:rsid w:val="0057553D"/>
    <w:rsid w:val="00611DEC"/>
    <w:rsid w:val="006574CC"/>
    <w:rsid w:val="006C3154"/>
    <w:rsid w:val="00750473"/>
    <w:rsid w:val="007835A7"/>
    <w:rsid w:val="00792464"/>
    <w:rsid w:val="007D0976"/>
    <w:rsid w:val="007F3C19"/>
    <w:rsid w:val="00825507"/>
    <w:rsid w:val="00863257"/>
    <w:rsid w:val="00873303"/>
    <w:rsid w:val="008815CA"/>
    <w:rsid w:val="008822FA"/>
    <w:rsid w:val="008E4593"/>
    <w:rsid w:val="00922FFA"/>
    <w:rsid w:val="00923193"/>
    <w:rsid w:val="009349C7"/>
    <w:rsid w:val="009361E7"/>
    <w:rsid w:val="009412E4"/>
    <w:rsid w:val="00981197"/>
    <w:rsid w:val="009A3428"/>
    <w:rsid w:val="009A59C3"/>
    <w:rsid w:val="00A37248"/>
    <w:rsid w:val="00A506FD"/>
    <w:rsid w:val="00A51F29"/>
    <w:rsid w:val="00A60069"/>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30015"/>
    <w:rsid w:val="00F57388"/>
    <w:rsid w:val="00F94E56"/>
    <w:rsid w:val="00FA2711"/>
    <w:rsid w:val="00FA49B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937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A54"/>
    <w:rPr>
      <w:lang w:val="en-GB"/>
    </w:rPr>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Brödtext"/>
    <w:basedOn w:val="Normal"/>
    <w:link w:val="BodyTextChar"/>
    <w:uiPriority w:val="1"/>
    <w:qFormat/>
    <w:rsid w:val="00C33F81"/>
    <w:pPr>
      <w:spacing w:after="240" w:line="260" w:lineRule="atLeast"/>
    </w:pPr>
  </w:style>
  <w:style w:type="character" w:customStyle="1" w:styleId="BodyTextChar">
    <w:name w:val="Body Text Char"/>
    <w:aliases w:val="KTH Brödtext Char,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uiPriority w:val="99"/>
    <w:rsid w:val="00340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riksdagen.se/sv/dokument-lagar/dokument/svensk-forfattningssamling/hogskoleforordning-1993100_sfs-1993-10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do.se/other-languages/english/" TargetMode="Externa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edit.sys.kth.se/polopoly/CM?owid=9925107994"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6E4C7-96F8-41DD-B95E-521FD1B163D7}" type="doc">
      <dgm:prSet loTypeId="urn:microsoft.com/office/officeart/2005/8/layout/process2" loCatId="process" qsTypeId="urn:microsoft.com/office/officeart/2005/8/quickstyle/simple5" qsCatId="simple" csTypeId="urn:microsoft.com/office/officeart/2005/8/colors/accent0_1" csCatId="mainScheme" phldr="1"/>
      <dgm:spPr/>
      <dgm:t>
        <a:bodyPr/>
        <a:lstStyle/>
        <a:p>
          <a:endParaRPr lang="en-US"/>
        </a:p>
      </dgm:t>
    </dgm:pt>
    <dgm:pt modelId="{C95DD9F2-38A8-4B69-8649-C048A48D3006}">
      <dgm:prSet phldrT="[Text]" custT="1"/>
      <dgm:spPr/>
      <dgm:t>
        <a:bodyPr/>
        <a:lstStyle/>
        <a:p>
          <a:r>
            <a:rPr lang="en-GB" sz="1000" b="1">
              <a:latin typeface="+mj-lt"/>
            </a:rPr>
            <a:t>4.2 Ability to complete and make use of the education</a:t>
          </a:r>
        </a:p>
      </dgm:t>
    </dgm:pt>
    <dgm:pt modelId="{9ABBE4E8-BA59-4D98-9BE1-C55C62444EB6}" type="parTrans" cxnId="{C723E96D-E96C-4107-8DF6-65448C8CFFC3}">
      <dgm:prSet/>
      <dgm:spPr/>
      <dgm:t>
        <a:bodyPr/>
        <a:lstStyle/>
        <a:p>
          <a:endParaRPr lang="en-US"/>
        </a:p>
      </dgm:t>
    </dgm:pt>
    <dgm:pt modelId="{F10C53B4-A38A-42EC-BF96-20571727DC72}" type="sibTrans" cxnId="{C723E96D-E96C-4107-8DF6-65448C8CFFC3}">
      <dgm:prSet/>
      <dgm:spPr/>
      <dgm:t>
        <a:bodyPr/>
        <a:lstStyle/>
        <a:p>
          <a:endParaRPr lang="en-US"/>
        </a:p>
      </dgm:t>
    </dgm:pt>
    <dgm:pt modelId="{7272739C-B43D-4439-87EB-FB4546D008B0}">
      <dgm:prSet phldrT="[Text]" custT="1"/>
      <dgm:spPr/>
      <dgm:t>
        <a:bodyPr/>
        <a:lstStyle/>
        <a:p>
          <a:r>
            <a:rPr lang="en-GB" sz="900"/>
            <a:t>Personal qualities/characteristics</a:t>
          </a:r>
        </a:p>
      </dgm:t>
    </dgm:pt>
    <dgm:pt modelId="{21C4B452-4D6E-4A91-ADF7-2AC54C5CF983}" type="parTrans" cxnId="{3EF9F678-BE47-4186-9F99-06111E4B325F}">
      <dgm:prSet/>
      <dgm:spPr/>
      <dgm:t>
        <a:bodyPr/>
        <a:lstStyle/>
        <a:p>
          <a:endParaRPr lang="en-US"/>
        </a:p>
      </dgm:t>
    </dgm:pt>
    <dgm:pt modelId="{BC85AAA2-B8EC-4844-8ADB-238AE7B749F0}" type="sibTrans" cxnId="{3EF9F678-BE47-4186-9F99-06111E4B325F}">
      <dgm:prSet/>
      <dgm:spPr/>
      <dgm:t>
        <a:bodyPr/>
        <a:lstStyle/>
        <a:p>
          <a:endParaRPr lang="en-US"/>
        </a:p>
      </dgm:t>
    </dgm:pt>
    <dgm:pt modelId="{09B1583D-E4C2-4BAA-A384-76BB3167FA62}">
      <dgm:prSet phldrT="[Text]" custT="1"/>
      <dgm:spPr/>
      <dgm:t>
        <a:bodyPr/>
        <a:lstStyle/>
        <a:p>
          <a:r>
            <a:rPr lang="en-GB" sz="900"/>
            <a:t>Individual suitability</a:t>
          </a:r>
        </a:p>
      </dgm:t>
    </dgm:pt>
    <dgm:pt modelId="{E2D03C31-EEED-4106-B1D3-8A6E6655BEC6}" type="parTrans" cxnId="{2A402053-A638-4B68-84EB-FCF7DFCF4E9A}">
      <dgm:prSet/>
      <dgm:spPr/>
      <dgm:t>
        <a:bodyPr/>
        <a:lstStyle/>
        <a:p>
          <a:endParaRPr lang="en-US"/>
        </a:p>
      </dgm:t>
    </dgm:pt>
    <dgm:pt modelId="{0689FBD6-E640-4FB6-A7A1-C668EF1430AB}" type="sibTrans" cxnId="{2A402053-A638-4B68-84EB-FCF7DFCF4E9A}">
      <dgm:prSet/>
      <dgm:spPr/>
      <dgm:t>
        <a:bodyPr/>
        <a:lstStyle/>
        <a:p>
          <a:endParaRPr lang="en-US"/>
        </a:p>
      </dgm:t>
    </dgm:pt>
    <dgm:pt modelId="{D28C8E09-624B-4EA2-B019-E879D86BC8FF}">
      <dgm:prSet phldrT="[Text]" custT="1"/>
      <dgm:spPr/>
      <dgm:t>
        <a:bodyPr/>
        <a:lstStyle/>
        <a:p>
          <a:pPr algn="ctr"/>
          <a:r>
            <a:rPr lang="en-GB" sz="1200" b="1">
              <a:latin typeface="+mj-lt"/>
            </a:rPr>
            <a:t>Review the received application documents</a:t>
          </a:r>
        </a:p>
      </dgm:t>
    </dgm:pt>
    <dgm:pt modelId="{443F0F8D-2A5B-4712-B7BC-D7C15C1A46DB}" type="sibTrans" cxnId="{2D713682-16F2-44DC-BF28-124CB250962B}">
      <dgm:prSet/>
      <dgm:spPr/>
      <dgm:t>
        <a:bodyPr/>
        <a:lstStyle/>
        <a:p>
          <a:endParaRPr lang="en-US"/>
        </a:p>
      </dgm:t>
    </dgm:pt>
    <dgm:pt modelId="{24440750-1FC5-4ACB-B82D-E26CF12D3198}" type="parTrans" cxnId="{2D713682-16F2-44DC-BF28-124CB250962B}">
      <dgm:prSet/>
      <dgm:spPr/>
      <dgm:t>
        <a:bodyPr/>
        <a:lstStyle/>
        <a:p>
          <a:endParaRPr lang="en-US"/>
        </a:p>
      </dgm:t>
    </dgm:pt>
    <dgm:pt modelId="{E5DA3972-0B5E-413A-A46E-4FF5621A5148}">
      <dgm:prSet phldrT="[Text]" custT="1"/>
      <dgm:spPr/>
      <dgm:t>
        <a:bodyPr/>
        <a:lstStyle/>
        <a:p>
          <a:r>
            <a:rPr lang="en-GB" sz="1000" b="1">
              <a:latin typeface="+mj-lt"/>
            </a:rPr>
            <a:t>4.1 Entry requirements</a:t>
          </a:r>
        </a:p>
      </dgm:t>
    </dgm:pt>
    <dgm:pt modelId="{82868015-B56A-43B6-B770-22D5F402ABC2}" type="parTrans" cxnId="{C54B0323-6D21-44A9-83CA-640ECC3E2497}">
      <dgm:prSet/>
      <dgm:spPr/>
      <dgm:t>
        <a:bodyPr/>
        <a:lstStyle/>
        <a:p>
          <a:endParaRPr lang="en-US"/>
        </a:p>
      </dgm:t>
    </dgm:pt>
    <dgm:pt modelId="{8CFCD7C4-AADA-4AEF-9260-860BAC5B74D4}" type="sibTrans" cxnId="{C54B0323-6D21-44A9-83CA-640ECC3E2497}">
      <dgm:prSet/>
      <dgm:spPr/>
      <dgm:t>
        <a:bodyPr/>
        <a:lstStyle/>
        <a:p>
          <a:endParaRPr lang="en-US"/>
        </a:p>
      </dgm:t>
    </dgm:pt>
    <dgm:pt modelId="{DE5AA951-1141-4EB7-8AEA-B5AC3922B141}">
      <dgm:prSet phldrT="[Text]" custT="1"/>
      <dgm:spPr/>
      <dgm:t>
        <a:bodyPr/>
        <a:lstStyle/>
        <a:p>
          <a:r>
            <a:rPr lang="en-GB" sz="900"/>
            <a:t> basic eligibility</a:t>
          </a:r>
        </a:p>
      </dgm:t>
    </dgm:pt>
    <dgm:pt modelId="{50D772B0-93A1-4145-B7A2-6AB2C59FE060}" type="parTrans" cxnId="{7AF2557C-F11E-442F-82A2-4257E8D8D74A}">
      <dgm:prSet/>
      <dgm:spPr/>
      <dgm:t>
        <a:bodyPr/>
        <a:lstStyle/>
        <a:p>
          <a:endParaRPr lang="en-US"/>
        </a:p>
      </dgm:t>
    </dgm:pt>
    <dgm:pt modelId="{FED0B7C5-C9D4-4CC5-A166-389F41F96FC7}" type="sibTrans" cxnId="{7AF2557C-F11E-442F-82A2-4257E8D8D74A}">
      <dgm:prSet/>
      <dgm:spPr/>
      <dgm:t>
        <a:bodyPr/>
        <a:lstStyle/>
        <a:p>
          <a:endParaRPr lang="en-US"/>
        </a:p>
      </dgm:t>
    </dgm:pt>
    <dgm:pt modelId="{E452E9E5-0C49-45B8-B320-8A50BC962355}">
      <dgm:prSet phldrT="[Text]" custT="1"/>
      <dgm:spPr/>
      <dgm:t>
        <a:bodyPr/>
        <a:lstStyle/>
        <a:p>
          <a:r>
            <a:rPr lang="en-GB" sz="900"/>
            <a:t> special eligibility</a:t>
          </a:r>
        </a:p>
      </dgm:t>
    </dgm:pt>
    <dgm:pt modelId="{70F5DFE6-CB19-4500-BFC6-1F5E78C11480}" type="parTrans" cxnId="{886CDBAC-70C8-4287-941D-3FCC97FBCA34}">
      <dgm:prSet/>
      <dgm:spPr/>
      <dgm:t>
        <a:bodyPr/>
        <a:lstStyle/>
        <a:p>
          <a:endParaRPr lang="en-US"/>
        </a:p>
      </dgm:t>
    </dgm:pt>
    <dgm:pt modelId="{93F61567-F329-4904-A60B-4EAB9605759C}" type="sibTrans" cxnId="{886CDBAC-70C8-4287-941D-3FCC97FBCA34}">
      <dgm:prSet/>
      <dgm:spPr/>
      <dgm:t>
        <a:bodyPr/>
        <a:lstStyle/>
        <a:p>
          <a:endParaRPr lang="en-US"/>
        </a:p>
      </dgm:t>
    </dgm:pt>
    <dgm:pt modelId="{708C0576-570A-4E4E-A582-5B45F113C923}">
      <dgm:prSet phldrT="[Text]" custT="1"/>
      <dgm:spPr/>
      <dgm:t>
        <a:bodyPr/>
        <a:lstStyle/>
        <a:p>
          <a:r>
            <a:rPr lang="en-GB" sz="1000" b="1">
              <a:latin typeface="+mj-lt"/>
            </a:rPr>
            <a:t>Telephone calls and personal interviews</a:t>
          </a:r>
        </a:p>
      </dgm:t>
    </dgm:pt>
    <dgm:pt modelId="{F026A2F1-BCFA-4CFA-97CE-32857F824D0A}" type="parTrans" cxnId="{43D13FBE-9496-42B4-8CF6-CBA72ED33603}">
      <dgm:prSet/>
      <dgm:spPr/>
      <dgm:t>
        <a:bodyPr/>
        <a:lstStyle/>
        <a:p>
          <a:endParaRPr lang="en-US"/>
        </a:p>
      </dgm:t>
    </dgm:pt>
    <dgm:pt modelId="{00F57F69-A9FF-4777-AF70-04C64B6BBE6B}" type="sibTrans" cxnId="{43D13FBE-9496-42B4-8CF6-CBA72ED33603}">
      <dgm:prSet/>
      <dgm:spPr/>
      <dgm:t>
        <a:bodyPr/>
        <a:lstStyle/>
        <a:p>
          <a:endParaRPr lang="en-US"/>
        </a:p>
      </dgm:t>
    </dgm:pt>
    <dgm:pt modelId="{EA2336C4-0111-4E24-9050-E4D1F2F51168}">
      <dgm:prSet phldrT="[Text]" custT="1"/>
      <dgm:spPr/>
      <dgm:t>
        <a:bodyPr/>
        <a:lstStyle/>
        <a:p>
          <a:pPr algn="ctr"/>
          <a:r>
            <a:rPr lang="en-GB" sz="1200" b="1">
              <a:latin typeface="+mj-lt"/>
            </a:rPr>
            <a:t>Interview and checking of references</a:t>
          </a:r>
        </a:p>
      </dgm:t>
    </dgm:pt>
    <dgm:pt modelId="{47B2C47B-BCFB-4082-9094-C2D7ECBBC533}" type="parTrans" cxnId="{1DE3B52D-DEF4-4E57-9FEC-57B583224683}">
      <dgm:prSet/>
      <dgm:spPr/>
      <dgm:t>
        <a:bodyPr/>
        <a:lstStyle/>
        <a:p>
          <a:endParaRPr lang="en-US"/>
        </a:p>
      </dgm:t>
    </dgm:pt>
    <dgm:pt modelId="{33127ED2-9DEE-4A3B-A640-057264801109}" type="sibTrans" cxnId="{1DE3B52D-DEF4-4E57-9FEC-57B583224683}">
      <dgm:prSet/>
      <dgm:spPr/>
      <dgm:t>
        <a:bodyPr/>
        <a:lstStyle/>
        <a:p>
          <a:endParaRPr lang="en-US"/>
        </a:p>
      </dgm:t>
    </dgm:pt>
    <dgm:pt modelId="{DE537BE5-1678-4BF6-AA7D-A004EB6F1B7A}">
      <dgm:prSet phldrT="[Text]" custT="1"/>
      <dgm:spPr/>
      <dgm:t>
        <a:bodyPr/>
        <a:lstStyle/>
        <a:p>
          <a:r>
            <a:rPr lang="en-GB" sz="900"/>
            <a:t>Meritorious knowledge and experience </a:t>
          </a:r>
          <a:endParaRPr lang="en-GB" sz="900"/>
        </a:p>
      </dgm:t>
    </dgm:pt>
    <dgm:pt modelId="{68F6C7AD-6788-4985-BFE8-6FEDF4441A62}" type="parTrans" cxnId="{F5A75369-3BED-4FEB-BB18-07007503E7DC}">
      <dgm:prSet/>
      <dgm:spPr/>
    </dgm:pt>
    <dgm:pt modelId="{E36714BA-47D1-4540-B316-38638A7312FA}" type="sibTrans" cxnId="{F5A75369-3BED-4FEB-BB18-07007503E7DC}">
      <dgm:prSet/>
      <dgm:spPr/>
    </dgm:pt>
    <dgm:pt modelId="{EFD20C1E-ED86-4C0E-A38D-083F6AE51EDC}" type="pres">
      <dgm:prSet presAssocID="{7016E4C7-96F8-41DD-B95E-521FD1B163D7}" presName="linearFlow" presStyleCnt="0">
        <dgm:presLayoutVars>
          <dgm:resizeHandles val="exact"/>
        </dgm:presLayoutVars>
      </dgm:prSet>
      <dgm:spPr/>
      <dgm:t>
        <a:bodyPr/>
        <a:lstStyle/>
        <a:p>
          <a:endParaRPr lang="en-US"/>
        </a:p>
      </dgm:t>
    </dgm:pt>
    <dgm:pt modelId="{3429D3BC-CBA0-458E-9D59-D40E49A325ED}" type="pres">
      <dgm:prSet presAssocID="{D28C8E09-624B-4EA2-B019-E879D86BC8FF}" presName="node" presStyleLbl="node1" presStyleIdx="0" presStyleCnt="5" custScaleX="127853">
        <dgm:presLayoutVars>
          <dgm:bulletEnabled val="1"/>
        </dgm:presLayoutVars>
      </dgm:prSet>
      <dgm:spPr/>
      <dgm:t>
        <a:bodyPr/>
        <a:lstStyle/>
        <a:p>
          <a:endParaRPr lang="en-US"/>
        </a:p>
      </dgm:t>
    </dgm:pt>
    <dgm:pt modelId="{E2E8F14E-BEF9-4A20-BDA4-C78A267CAF72}" type="pres">
      <dgm:prSet presAssocID="{443F0F8D-2A5B-4712-B7BC-D7C15C1A46DB}" presName="sibTrans" presStyleLbl="sibTrans2D1" presStyleIdx="0" presStyleCnt="4"/>
      <dgm:spPr/>
      <dgm:t>
        <a:bodyPr/>
        <a:lstStyle/>
        <a:p>
          <a:endParaRPr lang="en-US"/>
        </a:p>
      </dgm:t>
    </dgm:pt>
    <dgm:pt modelId="{7AF4750C-C5EF-4210-B1EC-DA6C88008F6C}" type="pres">
      <dgm:prSet presAssocID="{443F0F8D-2A5B-4712-B7BC-D7C15C1A46DB}" presName="connectorText" presStyleLbl="sibTrans2D1" presStyleIdx="0" presStyleCnt="4"/>
      <dgm:spPr/>
      <dgm:t>
        <a:bodyPr/>
        <a:lstStyle/>
        <a:p>
          <a:endParaRPr lang="en-US"/>
        </a:p>
      </dgm:t>
    </dgm:pt>
    <dgm:pt modelId="{1D7E01A1-C133-409A-AE55-2B5981305F7C}" type="pres">
      <dgm:prSet presAssocID="{E5DA3972-0B5E-413A-A46E-4FF5621A5148}" presName="node" presStyleLbl="node1" presStyleIdx="1" presStyleCnt="5" custScaleX="127853">
        <dgm:presLayoutVars>
          <dgm:bulletEnabled val="1"/>
        </dgm:presLayoutVars>
      </dgm:prSet>
      <dgm:spPr/>
      <dgm:t>
        <a:bodyPr/>
        <a:lstStyle/>
        <a:p>
          <a:endParaRPr lang="en-US"/>
        </a:p>
      </dgm:t>
    </dgm:pt>
    <dgm:pt modelId="{2322CFC8-F2DE-4902-AB18-134641F7F2BF}" type="pres">
      <dgm:prSet presAssocID="{8CFCD7C4-AADA-4AEF-9260-860BAC5B74D4}" presName="sibTrans" presStyleLbl="sibTrans2D1" presStyleIdx="1" presStyleCnt="4"/>
      <dgm:spPr/>
      <dgm:t>
        <a:bodyPr/>
        <a:lstStyle/>
        <a:p>
          <a:endParaRPr lang="en-US"/>
        </a:p>
      </dgm:t>
    </dgm:pt>
    <dgm:pt modelId="{9C8FC2FA-4D6D-4CA6-B852-8C47309DF900}" type="pres">
      <dgm:prSet presAssocID="{8CFCD7C4-AADA-4AEF-9260-860BAC5B74D4}" presName="connectorText" presStyleLbl="sibTrans2D1" presStyleIdx="1" presStyleCnt="4"/>
      <dgm:spPr/>
      <dgm:t>
        <a:bodyPr/>
        <a:lstStyle/>
        <a:p>
          <a:endParaRPr lang="en-US"/>
        </a:p>
      </dgm:t>
    </dgm:pt>
    <dgm:pt modelId="{A10A0907-CA02-4BD2-9267-205F2D28C9D9}" type="pres">
      <dgm:prSet presAssocID="{C95DD9F2-38A8-4B69-8649-C048A48D3006}" presName="node" presStyleLbl="node1" presStyleIdx="2" presStyleCnt="5" custScaleX="127853" custScaleY="120588">
        <dgm:presLayoutVars>
          <dgm:bulletEnabled val="1"/>
        </dgm:presLayoutVars>
      </dgm:prSet>
      <dgm:spPr/>
      <dgm:t>
        <a:bodyPr/>
        <a:lstStyle/>
        <a:p>
          <a:endParaRPr lang="en-US"/>
        </a:p>
      </dgm:t>
    </dgm:pt>
    <dgm:pt modelId="{4566A46C-B6C2-4F6D-A7C6-422552FC460B}" type="pres">
      <dgm:prSet presAssocID="{F10C53B4-A38A-42EC-BF96-20571727DC72}" presName="sibTrans" presStyleLbl="sibTrans2D1" presStyleIdx="2" presStyleCnt="4"/>
      <dgm:spPr/>
      <dgm:t>
        <a:bodyPr/>
        <a:lstStyle/>
        <a:p>
          <a:endParaRPr lang="en-US"/>
        </a:p>
      </dgm:t>
    </dgm:pt>
    <dgm:pt modelId="{25B1E7DE-F99D-4C8C-BCA6-788066462D68}" type="pres">
      <dgm:prSet presAssocID="{F10C53B4-A38A-42EC-BF96-20571727DC72}" presName="connectorText" presStyleLbl="sibTrans2D1" presStyleIdx="2" presStyleCnt="4"/>
      <dgm:spPr/>
      <dgm:t>
        <a:bodyPr/>
        <a:lstStyle/>
        <a:p>
          <a:endParaRPr lang="en-US"/>
        </a:p>
      </dgm:t>
    </dgm:pt>
    <dgm:pt modelId="{5DD5C835-C580-414D-AB81-B044BD236F1C}" type="pres">
      <dgm:prSet presAssocID="{708C0576-570A-4E4E-A582-5B45F113C923}" presName="node" presStyleLbl="node1" presStyleIdx="3" presStyleCnt="5" custScaleX="127853" custScaleY="40766">
        <dgm:presLayoutVars>
          <dgm:bulletEnabled val="1"/>
        </dgm:presLayoutVars>
      </dgm:prSet>
      <dgm:spPr/>
      <dgm:t>
        <a:bodyPr/>
        <a:lstStyle/>
        <a:p>
          <a:endParaRPr lang="en-US"/>
        </a:p>
      </dgm:t>
    </dgm:pt>
    <dgm:pt modelId="{276E3E1B-62B5-4439-83ED-DFEEADD0DCF5}" type="pres">
      <dgm:prSet presAssocID="{00F57F69-A9FF-4777-AF70-04C64B6BBE6B}" presName="sibTrans" presStyleLbl="sibTrans2D1" presStyleIdx="3" presStyleCnt="4"/>
      <dgm:spPr/>
      <dgm:t>
        <a:bodyPr/>
        <a:lstStyle/>
        <a:p>
          <a:endParaRPr lang="en-US"/>
        </a:p>
      </dgm:t>
    </dgm:pt>
    <dgm:pt modelId="{92AD15F4-921A-42AE-B7C3-064EFC11446D}" type="pres">
      <dgm:prSet presAssocID="{00F57F69-A9FF-4777-AF70-04C64B6BBE6B}" presName="connectorText" presStyleLbl="sibTrans2D1" presStyleIdx="3" presStyleCnt="4"/>
      <dgm:spPr/>
      <dgm:t>
        <a:bodyPr/>
        <a:lstStyle/>
        <a:p>
          <a:endParaRPr lang="en-US"/>
        </a:p>
      </dgm:t>
    </dgm:pt>
    <dgm:pt modelId="{93675125-3C5E-42FB-B042-501FBF64E0EC}" type="pres">
      <dgm:prSet presAssocID="{EA2336C4-0111-4E24-9050-E4D1F2F51168}" presName="node" presStyleLbl="node1" presStyleIdx="4" presStyleCnt="5" custScaleX="127853">
        <dgm:presLayoutVars>
          <dgm:bulletEnabled val="1"/>
        </dgm:presLayoutVars>
      </dgm:prSet>
      <dgm:spPr/>
      <dgm:t>
        <a:bodyPr/>
        <a:lstStyle/>
        <a:p>
          <a:endParaRPr lang="en-US"/>
        </a:p>
      </dgm:t>
    </dgm:pt>
  </dgm:ptLst>
  <dgm:cxnLst>
    <dgm:cxn modelId="{C54B0323-6D21-44A9-83CA-640ECC3E2497}" srcId="{7016E4C7-96F8-41DD-B95E-521FD1B163D7}" destId="{E5DA3972-0B5E-413A-A46E-4FF5621A5148}" srcOrd="1" destOrd="0" parTransId="{82868015-B56A-43B6-B770-22D5F402ABC2}" sibTransId="{8CFCD7C4-AADA-4AEF-9260-860BAC5B74D4}"/>
    <dgm:cxn modelId="{28FE97D0-F309-40C2-A239-EE8120EE8D71}" type="presOf" srcId="{7272739C-B43D-4439-87EB-FB4546D008B0}" destId="{A10A0907-CA02-4BD2-9267-205F2D28C9D9}" srcOrd="0" destOrd="1" presId="urn:microsoft.com/office/officeart/2005/8/layout/process2"/>
    <dgm:cxn modelId="{361A0C8B-4E00-40D7-A574-085337C0A9D0}" type="presOf" srcId="{443F0F8D-2A5B-4712-B7BC-D7C15C1A46DB}" destId="{E2E8F14E-BEF9-4A20-BDA4-C78A267CAF72}" srcOrd="0" destOrd="0" presId="urn:microsoft.com/office/officeart/2005/8/layout/process2"/>
    <dgm:cxn modelId="{D4D2C762-6B99-471A-BCFB-4F361E935896}" type="presOf" srcId="{DE537BE5-1678-4BF6-AA7D-A004EB6F1B7A}" destId="{A10A0907-CA02-4BD2-9267-205F2D28C9D9}" srcOrd="0" destOrd="3" presId="urn:microsoft.com/office/officeart/2005/8/layout/process2"/>
    <dgm:cxn modelId="{02A6E244-F6D4-4878-9950-48930DB4C249}" type="presOf" srcId="{EA2336C4-0111-4E24-9050-E4D1F2F51168}" destId="{93675125-3C5E-42FB-B042-501FBF64E0EC}" srcOrd="0" destOrd="0" presId="urn:microsoft.com/office/officeart/2005/8/layout/process2"/>
    <dgm:cxn modelId="{1DE3B52D-DEF4-4E57-9FEC-57B583224683}" srcId="{7016E4C7-96F8-41DD-B95E-521FD1B163D7}" destId="{EA2336C4-0111-4E24-9050-E4D1F2F51168}" srcOrd="4" destOrd="0" parTransId="{47B2C47B-BCFB-4082-9094-C2D7ECBBC533}" sibTransId="{33127ED2-9DEE-4A3B-A640-057264801109}"/>
    <dgm:cxn modelId="{751DF901-6AFD-4141-8539-CB1647C9661A}" type="presOf" srcId="{09B1583D-E4C2-4BAA-A384-76BB3167FA62}" destId="{A10A0907-CA02-4BD2-9267-205F2D28C9D9}" srcOrd="0" destOrd="2" presId="urn:microsoft.com/office/officeart/2005/8/layout/process2"/>
    <dgm:cxn modelId="{9A2EBD99-861C-4D1D-80B6-EF109D630079}" type="presOf" srcId="{443F0F8D-2A5B-4712-B7BC-D7C15C1A46DB}" destId="{7AF4750C-C5EF-4210-B1EC-DA6C88008F6C}" srcOrd="1" destOrd="0" presId="urn:microsoft.com/office/officeart/2005/8/layout/process2"/>
    <dgm:cxn modelId="{43D13FBE-9496-42B4-8CF6-CBA72ED33603}" srcId="{7016E4C7-96F8-41DD-B95E-521FD1B163D7}" destId="{708C0576-570A-4E4E-A582-5B45F113C923}" srcOrd="3" destOrd="0" parTransId="{F026A2F1-BCFA-4CFA-97CE-32857F824D0A}" sibTransId="{00F57F69-A9FF-4777-AF70-04C64B6BBE6B}"/>
    <dgm:cxn modelId="{04604C4F-150F-4E53-AD82-77E0152FEBD9}" type="presOf" srcId="{F10C53B4-A38A-42EC-BF96-20571727DC72}" destId="{4566A46C-B6C2-4F6D-A7C6-422552FC460B}" srcOrd="0" destOrd="0" presId="urn:microsoft.com/office/officeart/2005/8/layout/process2"/>
    <dgm:cxn modelId="{F2457E54-9E92-46F1-9688-D8F1C8A59EF0}" type="presOf" srcId="{00F57F69-A9FF-4777-AF70-04C64B6BBE6B}" destId="{92AD15F4-921A-42AE-B7C3-064EFC11446D}" srcOrd="1" destOrd="0" presId="urn:microsoft.com/office/officeart/2005/8/layout/process2"/>
    <dgm:cxn modelId="{B8A9E5F4-E8D8-402E-96CA-E3B1F9B4CACE}" type="presOf" srcId="{00F57F69-A9FF-4777-AF70-04C64B6BBE6B}" destId="{276E3E1B-62B5-4439-83ED-DFEEADD0DCF5}" srcOrd="0" destOrd="0" presId="urn:microsoft.com/office/officeart/2005/8/layout/process2"/>
    <dgm:cxn modelId="{388AB81D-E1CD-4516-AC1A-669228AD1466}" type="presOf" srcId="{8CFCD7C4-AADA-4AEF-9260-860BAC5B74D4}" destId="{9C8FC2FA-4D6D-4CA6-B852-8C47309DF900}" srcOrd="1" destOrd="0" presId="urn:microsoft.com/office/officeart/2005/8/layout/process2"/>
    <dgm:cxn modelId="{F5A75369-3BED-4FEB-BB18-07007503E7DC}" srcId="{C95DD9F2-38A8-4B69-8649-C048A48D3006}" destId="{DE537BE5-1678-4BF6-AA7D-A004EB6F1B7A}" srcOrd="2" destOrd="0" parTransId="{68F6C7AD-6788-4985-BFE8-6FEDF4441A62}" sibTransId="{E36714BA-47D1-4540-B316-38638A7312FA}"/>
    <dgm:cxn modelId="{886CDBAC-70C8-4287-941D-3FCC97FBCA34}" srcId="{E5DA3972-0B5E-413A-A46E-4FF5621A5148}" destId="{E452E9E5-0C49-45B8-B320-8A50BC962355}" srcOrd="1" destOrd="0" parTransId="{70F5DFE6-CB19-4500-BFC6-1F5E78C11480}" sibTransId="{93F61567-F329-4904-A60B-4EAB9605759C}"/>
    <dgm:cxn modelId="{2A402053-A638-4B68-84EB-FCF7DFCF4E9A}" srcId="{C95DD9F2-38A8-4B69-8649-C048A48D3006}" destId="{09B1583D-E4C2-4BAA-A384-76BB3167FA62}" srcOrd="1" destOrd="0" parTransId="{E2D03C31-EEED-4106-B1D3-8A6E6655BEC6}" sibTransId="{0689FBD6-E640-4FB6-A7A1-C668EF1430AB}"/>
    <dgm:cxn modelId="{E07DF228-7030-4389-A395-2894504EB073}" type="presOf" srcId="{8CFCD7C4-AADA-4AEF-9260-860BAC5B74D4}" destId="{2322CFC8-F2DE-4902-AB18-134641F7F2BF}" srcOrd="0" destOrd="0" presId="urn:microsoft.com/office/officeart/2005/8/layout/process2"/>
    <dgm:cxn modelId="{2D713682-16F2-44DC-BF28-124CB250962B}" srcId="{7016E4C7-96F8-41DD-B95E-521FD1B163D7}" destId="{D28C8E09-624B-4EA2-B019-E879D86BC8FF}" srcOrd="0" destOrd="0" parTransId="{24440750-1FC5-4ACB-B82D-E26CF12D3198}" sibTransId="{443F0F8D-2A5B-4712-B7BC-D7C15C1A46DB}"/>
    <dgm:cxn modelId="{E3B35F4A-5D92-4DBA-A1C1-DDF413EABFE5}" type="presOf" srcId="{F10C53B4-A38A-42EC-BF96-20571727DC72}" destId="{25B1E7DE-F99D-4C8C-BCA6-788066462D68}" srcOrd="1" destOrd="0" presId="urn:microsoft.com/office/officeart/2005/8/layout/process2"/>
    <dgm:cxn modelId="{3435FD60-7E9D-4ED6-AB95-52C944F134A1}" type="presOf" srcId="{E5DA3972-0B5E-413A-A46E-4FF5621A5148}" destId="{1D7E01A1-C133-409A-AE55-2B5981305F7C}" srcOrd="0" destOrd="0" presId="urn:microsoft.com/office/officeart/2005/8/layout/process2"/>
    <dgm:cxn modelId="{51B59B33-E6FF-45E9-B408-42075FD92732}" type="presOf" srcId="{7016E4C7-96F8-41DD-B95E-521FD1B163D7}" destId="{EFD20C1E-ED86-4C0E-A38D-083F6AE51EDC}" srcOrd="0" destOrd="0" presId="urn:microsoft.com/office/officeart/2005/8/layout/process2"/>
    <dgm:cxn modelId="{61DB5260-0617-4E35-9AEE-2933A58DFA29}" type="presOf" srcId="{C95DD9F2-38A8-4B69-8649-C048A48D3006}" destId="{A10A0907-CA02-4BD2-9267-205F2D28C9D9}" srcOrd="0" destOrd="0" presId="urn:microsoft.com/office/officeart/2005/8/layout/process2"/>
    <dgm:cxn modelId="{7AF2557C-F11E-442F-82A2-4257E8D8D74A}" srcId="{E5DA3972-0B5E-413A-A46E-4FF5621A5148}" destId="{DE5AA951-1141-4EB7-8AEA-B5AC3922B141}" srcOrd="0" destOrd="0" parTransId="{50D772B0-93A1-4145-B7A2-6AB2C59FE060}" sibTransId="{FED0B7C5-C9D4-4CC5-A166-389F41F96FC7}"/>
    <dgm:cxn modelId="{AB106A2C-D8DE-4019-9C9D-359CC2943B67}" type="presOf" srcId="{DE5AA951-1141-4EB7-8AEA-B5AC3922B141}" destId="{1D7E01A1-C133-409A-AE55-2B5981305F7C}" srcOrd="0" destOrd="1" presId="urn:microsoft.com/office/officeart/2005/8/layout/process2"/>
    <dgm:cxn modelId="{86C7F317-C185-4C09-8D73-50DE142559FF}" type="presOf" srcId="{D28C8E09-624B-4EA2-B019-E879D86BC8FF}" destId="{3429D3BC-CBA0-458E-9D59-D40E49A325ED}" srcOrd="0" destOrd="0" presId="urn:microsoft.com/office/officeart/2005/8/layout/process2"/>
    <dgm:cxn modelId="{C723E96D-E96C-4107-8DF6-65448C8CFFC3}" srcId="{7016E4C7-96F8-41DD-B95E-521FD1B163D7}" destId="{C95DD9F2-38A8-4B69-8649-C048A48D3006}" srcOrd="2" destOrd="0" parTransId="{9ABBE4E8-BA59-4D98-9BE1-C55C62444EB6}" sibTransId="{F10C53B4-A38A-42EC-BF96-20571727DC72}"/>
    <dgm:cxn modelId="{B5A03259-B13E-4B96-9FD4-210C6EDE28AF}" type="presOf" srcId="{708C0576-570A-4E4E-A582-5B45F113C923}" destId="{5DD5C835-C580-414D-AB81-B044BD236F1C}" srcOrd="0" destOrd="0" presId="urn:microsoft.com/office/officeart/2005/8/layout/process2"/>
    <dgm:cxn modelId="{3EF9F678-BE47-4186-9F99-06111E4B325F}" srcId="{C95DD9F2-38A8-4B69-8649-C048A48D3006}" destId="{7272739C-B43D-4439-87EB-FB4546D008B0}" srcOrd="0" destOrd="0" parTransId="{21C4B452-4D6E-4A91-ADF7-2AC54C5CF983}" sibTransId="{BC85AAA2-B8EC-4844-8ADB-238AE7B749F0}"/>
    <dgm:cxn modelId="{7060498D-F523-45F7-8D2F-598E0DEAEF2D}" type="presOf" srcId="{E452E9E5-0C49-45B8-B320-8A50BC962355}" destId="{1D7E01A1-C133-409A-AE55-2B5981305F7C}" srcOrd="0" destOrd="2" presId="urn:microsoft.com/office/officeart/2005/8/layout/process2"/>
    <dgm:cxn modelId="{9BBF9784-36EA-43CF-ACC1-F53B6AEC6A60}" type="presParOf" srcId="{EFD20C1E-ED86-4C0E-A38D-083F6AE51EDC}" destId="{3429D3BC-CBA0-458E-9D59-D40E49A325ED}" srcOrd="0" destOrd="0" presId="urn:microsoft.com/office/officeart/2005/8/layout/process2"/>
    <dgm:cxn modelId="{79A164FD-D87E-472B-A00D-1CDBB35097FD}" type="presParOf" srcId="{EFD20C1E-ED86-4C0E-A38D-083F6AE51EDC}" destId="{E2E8F14E-BEF9-4A20-BDA4-C78A267CAF72}" srcOrd="1" destOrd="0" presId="urn:microsoft.com/office/officeart/2005/8/layout/process2"/>
    <dgm:cxn modelId="{6487B02D-349C-40BA-9AC5-61F214187785}" type="presParOf" srcId="{E2E8F14E-BEF9-4A20-BDA4-C78A267CAF72}" destId="{7AF4750C-C5EF-4210-B1EC-DA6C88008F6C}" srcOrd="0" destOrd="0" presId="urn:microsoft.com/office/officeart/2005/8/layout/process2"/>
    <dgm:cxn modelId="{9FB09DF0-DE1E-42AC-AF1C-C1E888114E14}" type="presParOf" srcId="{EFD20C1E-ED86-4C0E-A38D-083F6AE51EDC}" destId="{1D7E01A1-C133-409A-AE55-2B5981305F7C}" srcOrd="2" destOrd="0" presId="urn:microsoft.com/office/officeart/2005/8/layout/process2"/>
    <dgm:cxn modelId="{745D40B9-5845-4CE2-B3A2-C5FBF5D72775}" type="presParOf" srcId="{EFD20C1E-ED86-4C0E-A38D-083F6AE51EDC}" destId="{2322CFC8-F2DE-4902-AB18-134641F7F2BF}" srcOrd="3" destOrd="0" presId="urn:microsoft.com/office/officeart/2005/8/layout/process2"/>
    <dgm:cxn modelId="{B1AAE6F4-B8DA-4F8A-BECD-FC5A4E35614E}" type="presParOf" srcId="{2322CFC8-F2DE-4902-AB18-134641F7F2BF}" destId="{9C8FC2FA-4D6D-4CA6-B852-8C47309DF900}" srcOrd="0" destOrd="0" presId="urn:microsoft.com/office/officeart/2005/8/layout/process2"/>
    <dgm:cxn modelId="{198BB51E-30B2-4769-A465-C67D4BDD089A}" type="presParOf" srcId="{EFD20C1E-ED86-4C0E-A38D-083F6AE51EDC}" destId="{A10A0907-CA02-4BD2-9267-205F2D28C9D9}" srcOrd="4" destOrd="0" presId="urn:microsoft.com/office/officeart/2005/8/layout/process2"/>
    <dgm:cxn modelId="{EC483CD1-BC26-4E26-8E09-C0C1CD51EC86}" type="presParOf" srcId="{EFD20C1E-ED86-4C0E-A38D-083F6AE51EDC}" destId="{4566A46C-B6C2-4F6D-A7C6-422552FC460B}" srcOrd="5" destOrd="0" presId="urn:microsoft.com/office/officeart/2005/8/layout/process2"/>
    <dgm:cxn modelId="{D2220F21-6D64-4CBA-865E-E975098EA36F}" type="presParOf" srcId="{4566A46C-B6C2-4F6D-A7C6-422552FC460B}" destId="{25B1E7DE-F99D-4C8C-BCA6-788066462D68}" srcOrd="0" destOrd="0" presId="urn:microsoft.com/office/officeart/2005/8/layout/process2"/>
    <dgm:cxn modelId="{270DAB1B-ED41-425C-8B6C-B62703E01F4E}" type="presParOf" srcId="{EFD20C1E-ED86-4C0E-A38D-083F6AE51EDC}" destId="{5DD5C835-C580-414D-AB81-B044BD236F1C}" srcOrd="6" destOrd="0" presId="urn:microsoft.com/office/officeart/2005/8/layout/process2"/>
    <dgm:cxn modelId="{5194CADF-4F27-4458-9CB8-8B50230E9E9B}" type="presParOf" srcId="{EFD20C1E-ED86-4C0E-A38D-083F6AE51EDC}" destId="{276E3E1B-62B5-4439-83ED-DFEEADD0DCF5}" srcOrd="7" destOrd="0" presId="urn:microsoft.com/office/officeart/2005/8/layout/process2"/>
    <dgm:cxn modelId="{DF529076-E973-4C33-BE7B-0F1A92C188D9}" type="presParOf" srcId="{276E3E1B-62B5-4439-83ED-DFEEADD0DCF5}" destId="{92AD15F4-921A-42AE-B7C3-064EFC11446D}" srcOrd="0" destOrd="0" presId="urn:microsoft.com/office/officeart/2005/8/layout/process2"/>
    <dgm:cxn modelId="{AEF96CD0-7723-428C-89A6-C12B44A0C833}" type="presParOf" srcId="{EFD20C1E-ED86-4C0E-A38D-083F6AE51EDC}" destId="{93675125-3C5E-42FB-B042-501FBF64E0EC}"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9D3BC-CBA0-458E-9D59-D40E49A325ED}">
      <dsp:nvSpPr>
        <dsp:cNvPr id="0" name=""/>
        <dsp:cNvSpPr/>
      </dsp:nvSpPr>
      <dsp:spPr>
        <a:xfrm>
          <a:off x="869160" y="3187"/>
          <a:ext cx="3243253" cy="6341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j-lt"/>
            </a:rPr>
            <a:t>Review the received application documents</a:t>
          </a:r>
        </a:p>
      </dsp:txBody>
      <dsp:txXfrm>
        <a:off x="887734" y="21761"/>
        <a:ext cx="3206105" cy="597028"/>
      </dsp:txXfrm>
    </dsp:sp>
    <dsp:sp modelId="{E2E8F14E-BEF9-4A20-BDA4-C78A267CAF72}">
      <dsp:nvSpPr>
        <dsp:cNvPr id="0" name=""/>
        <dsp:cNvSpPr/>
      </dsp:nvSpPr>
      <dsp:spPr>
        <a:xfrm rot="5400000">
          <a:off x="2371879" y="653218"/>
          <a:ext cx="237816" cy="285379"/>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405174" y="677000"/>
        <a:ext cx="171227" cy="166471"/>
      </dsp:txXfrm>
    </dsp:sp>
    <dsp:sp modelId="{1D7E01A1-C133-409A-AE55-2B5981305F7C}">
      <dsp:nvSpPr>
        <dsp:cNvPr id="0" name=""/>
        <dsp:cNvSpPr/>
      </dsp:nvSpPr>
      <dsp:spPr>
        <a:xfrm>
          <a:off x="869160" y="954451"/>
          <a:ext cx="3243253" cy="6341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b="1" kern="1200">
              <a:latin typeface="+mj-lt"/>
            </a:rPr>
            <a:t>4.1 Entry requirements</a:t>
          </a:r>
        </a:p>
        <a:p>
          <a:pPr marL="57150" lvl="1" indent="-57150" algn="l" defTabSz="400050">
            <a:lnSpc>
              <a:spcPct val="90000"/>
            </a:lnSpc>
            <a:spcBef>
              <a:spcPct val="0"/>
            </a:spcBef>
            <a:spcAft>
              <a:spcPct val="15000"/>
            </a:spcAft>
            <a:buChar char="••"/>
          </a:pPr>
          <a:r>
            <a:rPr lang="en-GB" sz="900" kern="1200"/>
            <a:t> basic eligibility</a:t>
          </a:r>
        </a:p>
        <a:p>
          <a:pPr marL="57150" lvl="1" indent="-57150" algn="l" defTabSz="400050">
            <a:lnSpc>
              <a:spcPct val="90000"/>
            </a:lnSpc>
            <a:spcBef>
              <a:spcPct val="0"/>
            </a:spcBef>
            <a:spcAft>
              <a:spcPct val="15000"/>
            </a:spcAft>
            <a:buChar char="••"/>
          </a:pPr>
          <a:r>
            <a:rPr lang="en-GB" sz="900" kern="1200"/>
            <a:t> special eligibility</a:t>
          </a:r>
        </a:p>
      </dsp:txBody>
      <dsp:txXfrm>
        <a:off x="887734" y="973025"/>
        <a:ext cx="3206105" cy="597028"/>
      </dsp:txXfrm>
    </dsp:sp>
    <dsp:sp modelId="{2322CFC8-F2DE-4902-AB18-134641F7F2BF}">
      <dsp:nvSpPr>
        <dsp:cNvPr id="0" name=""/>
        <dsp:cNvSpPr/>
      </dsp:nvSpPr>
      <dsp:spPr>
        <a:xfrm rot="5400000">
          <a:off x="2371879" y="1604482"/>
          <a:ext cx="237816" cy="285379"/>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405174" y="1628264"/>
        <a:ext cx="171227" cy="166471"/>
      </dsp:txXfrm>
    </dsp:sp>
    <dsp:sp modelId="{A10A0907-CA02-4BD2-9267-205F2D28C9D9}">
      <dsp:nvSpPr>
        <dsp:cNvPr id="0" name=""/>
        <dsp:cNvSpPr/>
      </dsp:nvSpPr>
      <dsp:spPr>
        <a:xfrm>
          <a:off x="869160" y="1905716"/>
          <a:ext cx="3243253" cy="76474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b="1" kern="1200">
              <a:latin typeface="+mj-lt"/>
            </a:rPr>
            <a:t>4.2 Ability to complete and make use of the education</a:t>
          </a:r>
        </a:p>
        <a:p>
          <a:pPr marL="57150" lvl="1" indent="-57150" algn="l" defTabSz="400050">
            <a:lnSpc>
              <a:spcPct val="90000"/>
            </a:lnSpc>
            <a:spcBef>
              <a:spcPct val="0"/>
            </a:spcBef>
            <a:spcAft>
              <a:spcPct val="15000"/>
            </a:spcAft>
            <a:buChar char="••"/>
          </a:pPr>
          <a:r>
            <a:rPr lang="en-GB" sz="900" kern="1200"/>
            <a:t>Personal qualities/characteristics</a:t>
          </a:r>
        </a:p>
        <a:p>
          <a:pPr marL="57150" lvl="1" indent="-57150" algn="l" defTabSz="400050">
            <a:lnSpc>
              <a:spcPct val="90000"/>
            </a:lnSpc>
            <a:spcBef>
              <a:spcPct val="0"/>
            </a:spcBef>
            <a:spcAft>
              <a:spcPct val="15000"/>
            </a:spcAft>
            <a:buChar char="••"/>
          </a:pPr>
          <a:r>
            <a:rPr lang="en-GB" sz="900" kern="1200"/>
            <a:t>Individual suitability</a:t>
          </a:r>
        </a:p>
        <a:p>
          <a:pPr marL="57150" lvl="1" indent="-57150" algn="l" defTabSz="400050">
            <a:lnSpc>
              <a:spcPct val="90000"/>
            </a:lnSpc>
            <a:spcBef>
              <a:spcPct val="0"/>
            </a:spcBef>
            <a:spcAft>
              <a:spcPct val="15000"/>
            </a:spcAft>
            <a:buChar char="••"/>
          </a:pPr>
          <a:r>
            <a:rPr lang="en-GB" sz="900" kern="1200"/>
            <a:t>Meritorious knowledge and experience </a:t>
          </a:r>
          <a:endParaRPr lang="en-GB" sz="900" kern="1200"/>
        </a:p>
      </dsp:txBody>
      <dsp:txXfrm>
        <a:off x="891558" y="1928114"/>
        <a:ext cx="3198457" cy="719944"/>
      </dsp:txXfrm>
    </dsp:sp>
    <dsp:sp modelId="{4566A46C-B6C2-4F6D-A7C6-422552FC460B}">
      <dsp:nvSpPr>
        <dsp:cNvPr id="0" name=""/>
        <dsp:cNvSpPr/>
      </dsp:nvSpPr>
      <dsp:spPr>
        <a:xfrm rot="5400000">
          <a:off x="2371879" y="2686311"/>
          <a:ext cx="237816" cy="285379"/>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405174" y="2710093"/>
        <a:ext cx="171227" cy="166471"/>
      </dsp:txXfrm>
    </dsp:sp>
    <dsp:sp modelId="{5DD5C835-C580-414D-AB81-B044BD236F1C}">
      <dsp:nvSpPr>
        <dsp:cNvPr id="0" name=""/>
        <dsp:cNvSpPr/>
      </dsp:nvSpPr>
      <dsp:spPr>
        <a:xfrm>
          <a:off x="869160" y="2987544"/>
          <a:ext cx="3243253" cy="25852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b="1" kern="1200">
              <a:latin typeface="+mj-lt"/>
            </a:rPr>
            <a:t>Telephone calls and personal interviews</a:t>
          </a:r>
        </a:p>
      </dsp:txBody>
      <dsp:txXfrm>
        <a:off x="876732" y="2995116"/>
        <a:ext cx="3228109" cy="243384"/>
      </dsp:txXfrm>
    </dsp:sp>
    <dsp:sp modelId="{276E3E1B-62B5-4439-83ED-DFEEADD0DCF5}">
      <dsp:nvSpPr>
        <dsp:cNvPr id="0" name=""/>
        <dsp:cNvSpPr/>
      </dsp:nvSpPr>
      <dsp:spPr>
        <a:xfrm rot="5400000">
          <a:off x="2371879" y="3261927"/>
          <a:ext cx="237816" cy="285379"/>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405174" y="3285709"/>
        <a:ext cx="171227" cy="166471"/>
      </dsp:txXfrm>
    </dsp:sp>
    <dsp:sp modelId="{93675125-3C5E-42FB-B042-501FBF64E0EC}">
      <dsp:nvSpPr>
        <dsp:cNvPr id="0" name=""/>
        <dsp:cNvSpPr/>
      </dsp:nvSpPr>
      <dsp:spPr>
        <a:xfrm>
          <a:off x="869160" y="3563161"/>
          <a:ext cx="3243253" cy="6341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j-lt"/>
            </a:rPr>
            <a:t>Interview and checking of references</a:t>
          </a:r>
        </a:p>
      </dsp:txBody>
      <dsp:txXfrm>
        <a:off x="887734" y="3581735"/>
        <a:ext cx="3206105" cy="5970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4B56CCA0.dotm</Template>
  <TotalTime>0</TotalTime>
  <Pages>4</Pages>
  <Words>921</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2018-06-26T09:15:00Z</dcterms:created>
  <dcterms:modified xsi:type="dcterms:W3CDTF">2018-06-27T11:13:00Z</dcterms:modified>
</cp:coreProperties>
</file>