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C1" w:rsidRPr="00E64786" w:rsidRDefault="00BE4F2E" w:rsidP="003C5BD0">
      <w:pPr>
        <w:pStyle w:val="Heading1"/>
        <w:spacing w:before="0" w:after="120"/>
        <w:rPr>
          <w:lang w:val="en-US"/>
        </w:rPr>
      </w:pPr>
      <w:bookmarkStart w:id="0" w:name="_GoBack"/>
      <w:bookmarkEnd w:id="0"/>
      <w:r w:rsidRPr="00E64786">
        <w:rPr>
          <w:lang w:val="en-US"/>
        </w:rPr>
        <w:t>C</w:t>
      </w:r>
      <w:r w:rsidR="001E1B5E" w:rsidRPr="00E64786">
        <w:rPr>
          <w:lang w:val="en-US"/>
        </w:rPr>
        <w:t>heck list</w:t>
      </w:r>
      <w:r w:rsidRPr="00E64786">
        <w:rPr>
          <w:lang w:val="en-US"/>
        </w:rPr>
        <w:t xml:space="preserve"> for export control</w:t>
      </w:r>
      <w:r w:rsidR="00FF12C1" w:rsidRPr="00E64786">
        <w:rPr>
          <w:lang w:val="en-US"/>
        </w:rPr>
        <w:t xml:space="preserve"> </w:t>
      </w:r>
    </w:p>
    <w:p w:rsidR="00FF12C1" w:rsidRPr="00E64786" w:rsidRDefault="001E1B5E" w:rsidP="00C212C8">
      <w:pPr>
        <w:pStyle w:val="BodyText"/>
        <w:spacing w:after="120"/>
        <w:rPr>
          <w:b/>
          <w:i/>
          <w:lang w:val="en-US"/>
        </w:rPr>
      </w:pPr>
      <w:r w:rsidRPr="00E64786">
        <w:rPr>
          <w:b/>
          <w:i/>
          <w:lang w:val="en-US"/>
        </w:rPr>
        <w:t xml:space="preserve">If the answer to any of the questions below </w:t>
      </w:r>
      <w:proofErr w:type="gramStart"/>
      <w:r w:rsidRPr="00E64786">
        <w:rPr>
          <w:b/>
          <w:i/>
          <w:lang w:val="en-US"/>
        </w:rPr>
        <w:t>is ”</w:t>
      </w:r>
      <w:proofErr w:type="gramEnd"/>
      <w:r w:rsidRPr="00E64786">
        <w:rPr>
          <w:b/>
          <w:i/>
          <w:lang w:val="en-US"/>
        </w:rPr>
        <w:t>yes” p</w:t>
      </w:r>
      <w:r w:rsidR="00E64786">
        <w:rPr>
          <w:b/>
          <w:i/>
          <w:lang w:val="en-US"/>
        </w:rPr>
        <w:t>lease seek assistance from the research a</w:t>
      </w:r>
      <w:r w:rsidRPr="00E64786">
        <w:rPr>
          <w:b/>
          <w:i/>
          <w:lang w:val="en-US"/>
        </w:rPr>
        <w:t xml:space="preserve">dvisors at </w:t>
      </w:r>
      <w:r w:rsidR="0037739C" w:rsidRPr="00E64786">
        <w:rPr>
          <w:b/>
          <w:i/>
          <w:lang w:val="en-US"/>
        </w:rPr>
        <w:t xml:space="preserve">Research </w:t>
      </w:r>
      <w:r w:rsidR="00442247" w:rsidRPr="00E64786">
        <w:rPr>
          <w:b/>
          <w:i/>
          <w:lang w:val="en-US"/>
        </w:rPr>
        <w:t xml:space="preserve">Support </w:t>
      </w:r>
      <w:r w:rsidR="0037739C" w:rsidRPr="00E64786">
        <w:rPr>
          <w:b/>
          <w:i/>
          <w:lang w:val="en-US"/>
        </w:rPr>
        <w:t>Office</w:t>
      </w:r>
      <w:r w:rsidR="00F608CC" w:rsidRPr="00E64786">
        <w:rPr>
          <w:b/>
          <w:i/>
          <w:lang w:val="en-US"/>
        </w:rPr>
        <w:t xml:space="preserve"> (RSO)</w:t>
      </w:r>
      <w:r w:rsidR="0037739C" w:rsidRPr="00E64786">
        <w:rPr>
          <w:b/>
          <w:i/>
          <w:lang w:val="en-US"/>
        </w:rPr>
        <w:t xml:space="preserve"> </w:t>
      </w:r>
      <w:r w:rsidR="00133D0A" w:rsidRPr="00E64786">
        <w:rPr>
          <w:b/>
          <w:i/>
          <w:lang w:val="en-US"/>
        </w:rPr>
        <w:t>regarding export control</w:t>
      </w:r>
      <w:r w:rsidR="00FF12C1" w:rsidRPr="00E64786">
        <w:rPr>
          <w:b/>
          <w:i/>
          <w:lang w:val="en-US"/>
        </w:rPr>
        <w:t xml:space="preserve">. </w:t>
      </w:r>
    </w:p>
    <w:p w:rsidR="00B95ECA" w:rsidRPr="00E64786" w:rsidRDefault="00BE4F2E" w:rsidP="00FF12C1">
      <w:pPr>
        <w:pStyle w:val="BodyText"/>
        <w:rPr>
          <w:i/>
          <w:lang w:val="en-US"/>
        </w:rPr>
      </w:pPr>
      <w:r w:rsidRPr="00E64786">
        <w:rPr>
          <w:i/>
          <w:lang w:val="en-US"/>
        </w:rPr>
        <w:t>In order to ensure that KTH follows the export control regulations</w:t>
      </w:r>
      <w:r w:rsidR="00E64786">
        <w:rPr>
          <w:i/>
          <w:lang w:val="en-US"/>
        </w:rPr>
        <w:t xml:space="preserve"> </w:t>
      </w:r>
      <w:r w:rsidRPr="00E64786">
        <w:rPr>
          <w:i/>
          <w:lang w:val="en-US"/>
        </w:rPr>
        <w:t>it is important to assess whether an</w:t>
      </w:r>
      <w:r w:rsidR="00F608CC" w:rsidRPr="00E64786">
        <w:rPr>
          <w:i/>
          <w:lang w:val="en-US"/>
        </w:rPr>
        <w:t xml:space="preserve"> export </w:t>
      </w:r>
      <w:r w:rsidR="00E64786" w:rsidRPr="00E64786">
        <w:rPr>
          <w:i/>
          <w:lang w:val="en-US"/>
        </w:rPr>
        <w:t>license</w:t>
      </w:r>
      <w:r w:rsidRPr="00E64786">
        <w:rPr>
          <w:i/>
          <w:lang w:val="en-US"/>
        </w:rPr>
        <w:t xml:space="preserve"> is n</w:t>
      </w:r>
      <w:r w:rsidR="00F608CC" w:rsidRPr="00E64786">
        <w:rPr>
          <w:i/>
          <w:lang w:val="en-US"/>
        </w:rPr>
        <w:t>eeded</w:t>
      </w:r>
      <w:r w:rsidR="004C316C" w:rsidRPr="00E64786">
        <w:rPr>
          <w:i/>
          <w:lang w:val="en-US"/>
        </w:rPr>
        <w:t>.</w:t>
      </w:r>
      <w:r w:rsidR="00C212C8" w:rsidRPr="00E64786">
        <w:rPr>
          <w:i/>
          <w:lang w:val="en-US"/>
        </w:rPr>
        <w:t xml:space="preserve"> </w:t>
      </w:r>
      <w:r w:rsidR="00E64786">
        <w:rPr>
          <w:i/>
          <w:lang w:val="en-US"/>
        </w:rPr>
        <w:t>If</w:t>
      </w:r>
      <w:r w:rsidR="000A05C7" w:rsidRPr="00E64786">
        <w:rPr>
          <w:i/>
          <w:lang w:val="en-US"/>
        </w:rPr>
        <w:t xml:space="preserve"> </w:t>
      </w:r>
      <w:r w:rsidR="00E64786">
        <w:rPr>
          <w:i/>
          <w:lang w:val="en-US"/>
        </w:rPr>
        <w:t>the</w:t>
      </w:r>
      <w:r w:rsidRPr="00E64786">
        <w:rPr>
          <w:i/>
          <w:lang w:val="en-US"/>
        </w:rPr>
        <w:t xml:space="preserve"> review of the project </w:t>
      </w:r>
      <w:r w:rsidR="000A05C7" w:rsidRPr="00E64786">
        <w:rPr>
          <w:i/>
          <w:lang w:val="en-US"/>
        </w:rPr>
        <w:t>indicate</w:t>
      </w:r>
      <w:r w:rsidR="00E64786">
        <w:rPr>
          <w:i/>
          <w:lang w:val="en-US"/>
        </w:rPr>
        <w:t>s that</w:t>
      </w:r>
      <w:r w:rsidRPr="00E64786">
        <w:rPr>
          <w:i/>
          <w:lang w:val="en-US"/>
        </w:rPr>
        <w:t xml:space="preserve"> export </w:t>
      </w:r>
      <w:r w:rsidR="00E64786" w:rsidRPr="00E64786">
        <w:rPr>
          <w:i/>
          <w:lang w:val="en-US"/>
        </w:rPr>
        <w:t>license</w:t>
      </w:r>
      <w:r w:rsidRPr="00E64786">
        <w:rPr>
          <w:i/>
          <w:lang w:val="en-US"/>
        </w:rPr>
        <w:t xml:space="preserve"> or consultation with the Supervising Authority</w:t>
      </w:r>
      <w:r w:rsidR="00E64786">
        <w:rPr>
          <w:i/>
          <w:lang w:val="en-US"/>
        </w:rPr>
        <w:t xml:space="preserve"> is necessary, </w:t>
      </w:r>
      <w:r w:rsidR="00E64786" w:rsidRPr="00E64786">
        <w:rPr>
          <w:i/>
          <w:lang w:val="en-US"/>
        </w:rPr>
        <w:t>Res</w:t>
      </w:r>
      <w:r w:rsidR="00E64786">
        <w:rPr>
          <w:i/>
          <w:lang w:val="en-US"/>
        </w:rPr>
        <w:t xml:space="preserve">earch Support Office will assist </w:t>
      </w:r>
      <w:r w:rsidR="00A53278">
        <w:rPr>
          <w:i/>
          <w:lang w:val="en-US"/>
        </w:rPr>
        <w:t xml:space="preserve">you </w:t>
      </w:r>
      <w:r w:rsidR="00E64786">
        <w:rPr>
          <w:i/>
          <w:lang w:val="en-US"/>
        </w:rPr>
        <w:t>with the process.</w:t>
      </w:r>
      <w:r w:rsidR="00F631A1">
        <w:rPr>
          <w:i/>
          <w:lang w:val="en-US"/>
        </w:rPr>
        <w:t xml:space="preserve"> You can find useful links on pp.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79"/>
      </w:tblGrid>
      <w:tr w:rsidR="00FF12C1" w:rsidRPr="00E64786" w:rsidTr="00B95ECA">
        <w:trPr>
          <w:trHeight w:val="630"/>
        </w:trPr>
        <w:tc>
          <w:tcPr>
            <w:tcW w:w="3539" w:type="dxa"/>
          </w:tcPr>
          <w:p w:rsidR="00FF12C1" w:rsidRPr="00E64786" w:rsidRDefault="00F608CC" w:rsidP="00D74DE2">
            <w:pPr>
              <w:pStyle w:val="BodyText"/>
              <w:rPr>
                <w:b/>
                <w:lang w:val="en-US"/>
              </w:rPr>
            </w:pPr>
            <w:r w:rsidRPr="00E64786">
              <w:rPr>
                <w:b/>
                <w:lang w:val="en-US"/>
              </w:rPr>
              <w:t>Project title/Ac</w:t>
            </w:r>
            <w:r w:rsidR="00442247" w:rsidRPr="00E64786">
              <w:rPr>
                <w:b/>
                <w:lang w:val="en-US"/>
              </w:rPr>
              <w:t>ronym</w:t>
            </w:r>
            <w:r w:rsidR="0018134F">
              <w:rPr>
                <w:b/>
                <w:lang w:val="en-US"/>
              </w:rPr>
              <w:br/>
            </w:r>
          </w:p>
        </w:tc>
        <w:tc>
          <w:tcPr>
            <w:tcW w:w="5579" w:type="dxa"/>
          </w:tcPr>
          <w:p w:rsidR="00FF12C1" w:rsidRPr="00E64786" w:rsidRDefault="00695DCE" w:rsidP="00D74DE2">
            <w:pPr>
              <w:pStyle w:val="BodyText"/>
              <w:rPr>
                <w:lang w:val="en-US"/>
              </w:rPr>
            </w:pPr>
            <w:r>
              <w:rPr>
                <w:b/>
                <w:lang w:val="en-US"/>
              </w:rPr>
              <w:t>Export Control Officer</w:t>
            </w:r>
            <w:r w:rsidR="00F608CC" w:rsidRPr="00E64786">
              <w:rPr>
                <w:b/>
                <w:lang w:val="en-US"/>
              </w:rPr>
              <w:t xml:space="preserve"> at </w:t>
            </w:r>
            <w:r w:rsidR="00B95ECA" w:rsidRPr="00E64786">
              <w:rPr>
                <w:b/>
                <w:lang w:val="en-US"/>
              </w:rPr>
              <w:t>RSO</w:t>
            </w:r>
            <w:r w:rsidR="0018134F">
              <w:rPr>
                <w:b/>
                <w:lang w:val="en-US"/>
              </w:rPr>
              <w:br/>
            </w:r>
          </w:p>
        </w:tc>
      </w:tr>
      <w:tr w:rsidR="00FF12C1" w:rsidRPr="00E64786" w:rsidTr="00B95ECA">
        <w:trPr>
          <w:trHeight w:val="696"/>
        </w:trPr>
        <w:tc>
          <w:tcPr>
            <w:tcW w:w="3539" w:type="dxa"/>
          </w:tcPr>
          <w:p w:rsidR="00FF12C1" w:rsidRPr="00E64786" w:rsidRDefault="00F608CC" w:rsidP="00D74DE2">
            <w:pPr>
              <w:pStyle w:val="BodyText"/>
              <w:rPr>
                <w:b/>
                <w:lang w:val="en-US"/>
              </w:rPr>
            </w:pPr>
            <w:r w:rsidRPr="00E64786">
              <w:rPr>
                <w:b/>
                <w:lang w:val="en-US"/>
              </w:rPr>
              <w:t>Principal Investigator</w:t>
            </w:r>
            <w:r w:rsidR="0018134F">
              <w:rPr>
                <w:b/>
                <w:lang w:val="en-US"/>
              </w:rPr>
              <w:br/>
            </w:r>
          </w:p>
        </w:tc>
        <w:tc>
          <w:tcPr>
            <w:tcW w:w="5579" w:type="dxa"/>
          </w:tcPr>
          <w:p w:rsidR="00FF12C1" w:rsidRPr="00E64786" w:rsidRDefault="00B95ECA" w:rsidP="00F608CC">
            <w:pPr>
              <w:pStyle w:val="BodyText"/>
              <w:rPr>
                <w:lang w:val="en-US"/>
              </w:rPr>
            </w:pPr>
            <w:r w:rsidRPr="00E64786">
              <w:rPr>
                <w:b/>
                <w:lang w:val="en-US"/>
              </w:rPr>
              <w:t>Da</w:t>
            </w:r>
            <w:r w:rsidR="00F608CC" w:rsidRPr="00E64786">
              <w:rPr>
                <w:b/>
                <w:lang w:val="en-US"/>
              </w:rPr>
              <w:t>te</w:t>
            </w:r>
          </w:p>
        </w:tc>
      </w:tr>
    </w:tbl>
    <w:p w:rsidR="00FF12C1" w:rsidRPr="00E64786" w:rsidRDefault="00FF12C1" w:rsidP="00200EAB">
      <w:pPr>
        <w:pStyle w:val="BodyText"/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5"/>
        <w:gridCol w:w="706"/>
        <w:gridCol w:w="787"/>
      </w:tblGrid>
      <w:tr w:rsidR="00FF12C1" w:rsidRPr="00E64786" w:rsidTr="00204762">
        <w:trPr>
          <w:trHeight w:val="289"/>
        </w:trPr>
        <w:tc>
          <w:tcPr>
            <w:tcW w:w="7625" w:type="dxa"/>
          </w:tcPr>
          <w:p w:rsidR="00FF12C1" w:rsidRPr="00E64786" w:rsidRDefault="00FF12C1" w:rsidP="00DA776F">
            <w:pPr>
              <w:pStyle w:val="BodyText"/>
              <w:rPr>
                <w:lang w:val="en-US"/>
              </w:rPr>
            </w:pPr>
          </w:p>
        </w:tc>
        <w:tc>
          <w:tcPr>
            <w:tcW w:w="706" w:type="dxa"/>
          </w:tcPr>
          <w:p w:rsidR="00FF12C1" w:rsidRPr="00E64786" w:rsidRDefault="008E0D4F" w:rsidP="00DA776F">
            <w:pPr>
              <w:pStyle w:val="Body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787" w:type="dxa"/>
          </w:tcPr>
          <w:p w:rsidR="00FF12C1" w:rsidRPr="00E64786" w:rsidRDefault="008E0D4F" w:rsidP="00DA776F">
            <w:pPr>
              <w:pStyle w:val="Body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</w:tr>
      <w:tr w:rsidR="007871DE" w:rsidRPr="00E64786" w:rsidTr="00204762">
        <w:trPr>
          <w:trHeight w:val="289"/>
        </w:trPr>
        <w:tc>
          <w:tcPr>
            <w:tcW w:w="7625" w:type="dxa"/>
          </w:tcPr>
          <w:p w:rsidR="007871DE" w:rsidRPr="00E64786" w:rsidRDefault="00F608CC" w:rsidP="00F608CC">
            <w:pPr>
              <w:pStyle w:val="BodyText"/>
              <w:rPr>
                <w:b/>
                <w:lang w:val="en-US"/>
              </w:rPr>
            </w:pPr>
            <w:r w:rsidRPr="00E64786">
              <w:rPr>
                <w:b/>
                <w:lang w:val="en-US"/>
              </w:rPr>
              <w:t>Will you in your project give technical assistance/develop products or research</w:t>
            </w:r>
            <w:r w:rsidR="00E64786">
              <w:rPr>
                <w:b/>
                <w:lang w:val="en-US"/>
              </w:rPr>
              <w:t>,</w:t>
            </w:r>
            <w:r w:rsidRPr="00E64786">
              <w:rPr>
                <w:b/>
                <w:lang w:val="en-US"/>
              </w:rPr>
              <w:t xml:space="preserve"> which is intended for military use or do any of the partners in the projects have a military association?</w:t>
            </w:r>
          </w:p>
        </w:tc>
        <w:tc>
          <w:tcPr>
            <w:tcW w:w="706" w:type="dxa"/>
          </w:tcPr>
          <w:p w:rsidR="007871DE" w:rsidRPr="00E64786" w:rsidRDefault="007871DE" w:rsidP="00DA776F">
            <w:pPr>
              <w:pStyle w:val="BodyText"/>
              <w:rPr>
                <w:b/>
                <w:lang w:val="en-US"/>
              </w:rPr>
            </w:pPr>
          </w:p>
        </w:tc>
        <w:tc>
          <w:tcPr>
            <w:tcW w:w="787" w:type="dxa"/>
          </w:tcPr>
          <w:p w:rsidR="007871DE" w:rsidRPr="00E64786" w:rsidRDefault="007871DE" w:rsidP="00DA776F">
            <w:pPr>
              <w:pStyle w:val="BodyText"/>
              <w:rPr>
                <w:b/>
                <w:lang w:val="en-US"/>
              </w:rPr>
            </w:pPr>
          </w:p>
        </w:tc>
      </w:tr>
      <w:tr w:rsidR="007871DE" w:rsidRPr="00E64786" w:rsidTr="00204762">
        <w:trPr>
          <w:trHeight w:val="289"/>
        </w:trPr>
        <w:tc>
          <w:tcPr>
            <w:tcW w:w="7625" w:type="dxa"/>
          </w:tcPr>
          <w:p w:rsidR="007871DE" w:rsidRPr="00E64786" w:rsidRDefault="00D25A7A" w:rsidP="00D25A7A">
            <w:pPr>
              <w:pStyle w:val="BodyText"/>
              <w:rPr>
                <w:b/>
                <w:lang w:val="en-US"/>
              </w:rPr>
            </w:pPr>
            <w:r w:rsidRPr="00E64786">
              <w:rPr>
                <w:b/>
                <w:lang w:val="en-US"/>
              </w:rPr>
              <w:t xml:space="preserve">Will you in your project generate any technology or software with both civil and military uses/applications, in accordance with the </w:t>
            </w:r>
            <w:hyperlink r:id="rId7" w:history="1">
              <w:r w:rsidRPr="00E64786">
                <w:rPr>
                  <w:rStyle w:val="Hyperlink"/>
                  <w:b/>
                  <w:lang w:val="en-US"/>
                </w:rPr>
                <w:t>Dual Use regulation</w:t>
              </w:r>
            </w:hyperlink>
            <w:r w:rsidR="000629A5" w:rsidRPr="00E64786">
              <w:rPr>
                <w:b/>
                <w:lang w:val="en-US"/>
              </w:rPr>
              <w:t>?</w:t>
            </w:r>
            <w:r w:rsidR="009578ED">
              <w:rPr>
                <w:b/>
                <w:lang w:val="en-US"/>
              </w:rPr>
              <w:t xml:space="preserve"> </w:t>
            </w:r>
            <w:r w:rsidR="009578ED">
              <w:rPr>
                <w:lang w:val="en-US"/>
              </w:rPr>
              <w:t>(see pp 3 below for detailed instructions how to navigate it)</w:t>
            </w:r>
            <w:r w:rsidR="000629A5" w:rsidRPr="00E64786">
              <w:rPr>
                <w:b/>
                <w:lang w:val="en-US"/>
              </w:rPr>
              <w:t xml:space="preserve">  </w:t>
            </w:r>
          </w:p>
        </w:tc>
        <w:tc>
          <w:tcPr>
            <w:tcW w:w="706" w:type="dxa"/>
          </w:tcPr>
          <w:p w:rsidR="007871DE" w:rsidRPr="00E64786" w:rsidRDefault="007871DE" w:rsidP="00DA776F">
            <w:pPr>
              <w:pStyle w:val="BodyText"/>
              <w:rPr>
                <w:b/>
                <w:lang w:val="en-US"/>
              </w:rPr>
            </w:pPr>
          </w:p>
        </w:tc>
        <w:tc>
          <w:tcPr>
            <w:tcW w:w="787" w:type="dxa"/>
          </w:tcPr>
          <w:p w:rsidR="007871DE" w:rsidRPr="00E64786" w:rsidRDefault="007871DE" w:rsidP="00DA776F">
            <w:pPr>
              <w:pStyle w:val="BodyText"/>
              <w:rPr>
                <w:b/>
                <w:lang w:val="en-US"/>
              </w:rPr>
            </w:pPr>
          </w:p>
        </w:tc>
      </w:tr>
      <w:tr w:rsidR="00204762" w:rsidRPr="00E64786" w:rsidTr="002608D6">
        <w:trPr>
          <w:trHeight w:val="289"/>
        </w:trPr>
        <w:tc>
          <w:tcPr>
            <w:tcW w:w="9118" w:type="dxa"/>
            <w:gridSpan w:val="3"/>
          </w:tcPr>
          <w:p w:rsidR="00204762" w:rsidRDefault="00204762" w:rsidP="00DA776F">
            <w:pPr>
              <w:pStyle w:val="Body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If “yes”, what in the Dual use regulation is applicable to your work? Please specify:</w:t>
            </w:r>
          </w:p>
          <w:p w:rsidR="00204762" w:rsidRDefault="00204762" w:rsidP="00DA776F">
            <w:pPr>
              <w:pStyle w:val="Body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If “no”, where in the Dual use regulation have you checked? Please</w:t>
            </w:r>
            <w:r w:rsidRPr="00F16D9B">
              <w:rPr>
                <w:b/>
                <w:lang w:val="en-US"/>
              </w:rPr>
              <w:t xml:space="preserve"> specify</w:t>
            </w:r>
            <w:r w:rsidRPr="00F16D9B">
              <w:rPr>
                <w:lang w:val="en-US"/>
              </w:rPr>
              <w:t xml:space="preserve"> (pp. no./category/sub-category)</w:t>
            </w:r>
            <w:r>
              <w:rPr>
                <w:b/>
                <w:lang w:val="en-US"/>
              </w:rPr>
              <w:t>:</w:t>
            </w:r>
          </w:p>
          <w:p w:rsidR="00182906" w:rsidRDefault="00182906" w:rsidP="00182906">
            <w:pPr>
              <w:pStyle w:val="Body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Give short description/motivation for your response above </w:t>
            </w:r>
            <w:r>
              <w:rPr>
                <w:lang w:val="en-US"/>
              </w:rPr>
              <w:t>(i.e. why your work does/or does not apply to the pp./category/sub-category chosen above)</w:t>
            </w:r>
            <w:r>
              <w:rPr>
                <w:b/>
                <w:lang w:val="en-US"/>
              </w:rPr>
              <w:t xml:space="preserve">: </w:t>
            </w:r>
          </w:p>
          <w:p w:rsidR="00182906" w:rsidRPr="00E64786" w:rsidRDefault="00182906" w:rsidP="00182906">
            <w:pPr>
              <w:pStyle w:val="BodyText"/>
              <w:rPr>
                <w:b/>
                <w:lang w:val="en-US"/>
              </w:rPr>
            </w:pPr>
          </w:p>
        </w:tc>
      </w:tr>
      <w:tr w:rsidR="00FF12C1" w:rsidRPr="00E64786" w:rsidTr="00204762">
        <w:trPr>
          <w:trHeight w:val="805"/>
        </w:trPr>
        <w:tc>
          <w:tcPr>
            <w:tcW w:w="7625" w:type="dxa"/>
          </w:tcPr>
          <w:p w:rsidR="00FF12C1" w:rsidRPr="00E64786" w:rsidRDefault="001530A9" w:rsidP="00162E0A">
            <w:pPr>
              <w:pStyle w:val="BodyText"/>
              <w:rPr>
                <w:lang w:val="en-US"/>
              </w:rPr>
            </w:pPr>
            <w:r w:rsidRPr="00E64786">
              <w:rPr>
                <w:b/>
                <w:lang w:val="en-US"/>
              </w:rPr>
              <w:t xml:space="preserve">Will </w:t>
            </w:r>
            <w:r w:rsidR="008E0D4F">
              <w:rPr>
                <w:b/>
                <w:lang w:val="en-US"/>
              </w:rPr>
              <w:t xml:space="preserve">you in your </w:t>
            </w:r>
            <w:r w:rsidRPr="00E64786">
              <w:rPr>
                <w:b/>
                <w:lang w:val="en-US"/>
              </w:rPr>
              <w:t xml:space="preserve">project exchange information/knowledge/technology with partners outside the EU? </w:t>
            </w:r>
            <w:r w:rsidR="004A0180" w:rsidRPr="00E64786">
              <w:rPr>
                <w:lang w:val="en-US"/>
              </w:rPr>
              <w:t>(</w:t>
            </w:r>
            <w:r w:rsidRPr="00E64786">
              <w:rPr>
                <w:lang w:val="en-US"/>
              </w:rPr>
              <w:t>Including</w:t>
            </w:r>
            <w:r w:rsidR="004A0180" w:rsidRPr="00E64786">
              <w:rPr>
                <w:lang w:val="en-US"/>
              </w:rPr>
              <w:t xml:space="preserve"> </w:t>
            </w:r>
            <w:r w:rsidR="00162E0A">
              <w:rPr>
                <w:lang w:val="en-US"/>
              </w:rPr>
              <w:t xml:space="preserve">Switzerland, </w:t>
            </w:r>
            <w:r w:rsidRPr="00E64786">
              <w:rPr>
                <w:lang w:val="en-US"/>
              </w:rPr>
              <w:t>Norway</w:t>
            </w:r>
            <w:r w:rsidR="00162E0A">
              <w:rPr>
                <w:lang w:val="en-US"/>
              </w:rPr>
              <w:t xml:space="preserve"> and UK</w:t>
            </w:r>
            <w:r w:rsidR="004A0180" w:rsidRPr="00E64786">
              <w:rPr>
                <w:lang w:val="en-US"/>
              </w:rPr>
              <w:t>)</w:t>
            </w:r>
          </w:p>
        </w:tc>
        <w:tc>
          <w:tcPr>
            <w:tcW w:w="706" w:type="dxa"/>
          </w:tcPr>
          <w:p w:rsidR="00FF12C1" w:rsidRPr="00E64786" w:rsidRDefault="00FF12C1" w:rsidP="00DA776F">
            <w:pPr>
              <w:pStyle w:val="BodyText"/>
              <w:rPr>
                <w:lang w:val="en-US"/>
              </w:rPr>
            </w:pPr>
          </w:p>
        </w:tc>
        <w:tc>
          <w:tcPr>
            <w:tcW w:w="787" w:type="dxa"/>
          </w:tcPr>
          <w:p w:rsidR="00FF12C1" w:rsidRPr="00E64786" w:rsidRDefault="00FF12C1" w:rsidP="00DA776F">
            <w:pPr>
              <w:pStyle w:val="BodyText"/>
              <w:rPr>
                <w:lang w:val="en-US"/>
              </w:rPr>
            </w:pPr>
          </w:p>
        </w:tc>
      </w:tr>
      <w:tr w:rsidR="00FF12C1" w:rsidRPr="00E77EA6" w:rsidTr="00204762">
        <w:trPr>
          <w:trHeight w:val="570"/>
        </w:trPr>
        <w:tc>
          <w:tcPr>
            <w:tcW w:w="9118" w:type="dxa"/>
            <w:gridSpan w:val="3"/>
          </w:tcPr>
          <w:p w:rsidR="00FF12C1" w:rsidRPr="00E64786" w:rsidRDefault="001530A9" w:rsidP="001530A9">
            <w:pPr>
              <w:pStyle w:val="BodyText"/>
              <w:rPr>
                <w:lang w:val="en-US"/>
              </w:rPr>
            </w:pPr>
            <w:proofErr w:type="gramStart"/>
            <w:r w:rsidRPr="00E64786">
              <w:rPr>
                <w:b/>
                <w:lang w:val="en-US"/>
              </w:rPr>
              <w:t>If ”</w:t>
            </w:r>
            <w:proofErr w:type="gramEnd"/>
            <w:r w:rsidRPr="00E64786">
              <w:rPr>
                <w:b/>
                <w:lang w:val="en-US"/>
              </w:rPr>
              <w:t>yes”, which countries are involved?</w:t>
            </w:r>
          </w:p>
        </w:tc>
      </w:tr>
      <w:tr w:rsidR="00FF12C1" w:rsidRPr="00E64786" w:rsidTr="00204762">
        <w:trPr>
          <w:trHeight w:val="692"/>
        </w:trPr>
        <w:tc>
          <w:tcPr>
            <w:tcW w:w="7625" w:type="dxa"/>
          </w:tcPr>
          <w:p w:rsidR="0037739C" w:rsidRPr="00E64786" w:rsidRDefault="001530A9" w:rsidP="008E0D4F">
            <w:pPr>
              <w:pStyle w:val="BodyText"/>
              <w:rPr>
                <w:lang w:val="en-US"/>
              </w:rPr>
            </w:pPr>
            <w:r w:rsidRPr="00E64786">
              <w:rPr>
                <w:b/>
                <w:lang w:val="en-US"/>
              </w:rPr>
              <w:t xml:space="preserve">Will </w:t>
            </w:r>
            <w:r w:rsidR="008E0D4F">
              <w:rPr>
                <w:b/>
                <w:lang w:val="en-US"/>
              </w:rPr>
              <w:t xml:space="preserve">you in your </w:t>
            </w:r>
            <w:r w:rsidRPr="00E64786">
              <w:rPr>
                <w:b/>
                <w:lang w:val="en-US"/>
              </w:rPr>
              <w:t xml:space="preserve">project exchange information/knowledge/technology with </w:t>
            </w:r>
            <w:r w:rsidR="0080441F" w:rsidRPr="00E64786">
              <w:rPr>
                <w:b/>
                <w:lang w:val="en-US"/>
              </w:rPr>
              <w:t>A</w:t>
            </w:r>
            <w:r w:rsidRPr="00E64786">
              <w:rPr>
                <w:b/>
                <w:lang w:val="en-US"/>
              </w:rPr>
              <w:t xml:space="preserve">merican origin? </w:t>
            </w:r>
            <w:r w:rsidR="00FF12C1" w:rsidRPr="00E64786">
              <w:rPr>
                <w:lang w:val="en-US"/>
              </w:rPr>
              <w:t>(</w:t>
            </w:r>
            <w:r w:rsidR="0080441F" w:rsidRPr="00E64786">
              <w:rPr>
                <w:lang w:val="en-US"/>
              </w:rPr>
              <w:t>within your research project</w:t>
            </w:r>
            <w:r w:rsidR="00FF12C1" w:rsidRPr="00E64786">
              <w:rPr>
                <w:lang w:val="en-US"/>
              </w:rPr>
              <w:t>)</w:t>
            </w:r>
          </w:p>
        </w:tc>
        <w:tc>
          <w:tcPr>
            <w:tcW w:w="706" w:type="dxa"/>
          </w:tcPr>
          <w:p w:rsidR="00FF12C1" w:rsidRPr="00E64786" w:rsidRDefault="00FF12C1" w:rsidP="00DA776F">
            <w:pPr>
              <w:pStyle w:val="BodyText"/>
              <w:rPr>
                <w:lang w:val="en-US"/>
              </w:rPr>
            </w:pPr>
          </w:p>
        </w:tc>
        <w:tc>
          <w:tcPr>
            <w:tcW w:w="787" w:type="dxa"/>
          </w:tcPr>
          <w:p w:rsidR="00FF12C1" w:rsidRPr="00E64786" w:rsidRDefault="00FF12C1" w:rsidP="00DA776F">
            <w:pPr>
              <w:pStyle w:val="BodyText"/>
              <w:rPr>
                <w:lang w:val="en-US"/>
              </w:rPr>
            </w:pPr>
          </w:p>
        </w:tc>
      </w:tr>
      <w:tr w:rsidR="00FF12C1" w:rsidRPr="00E64786" w:rsidTr="00204762">
        <w:tc>
          <w:tcPr>
            <w:tcW w:w="7625" w:type="dxa"/>
          </w:tcPr>
          <w:p w:rsidR="00033473" w:rsidRPr="00E64786" w:rsidRDefault="0080441F" w:rsidP="0003347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4786">
              <w:rPr>
                <w:b/>
                <w:lang w:val="en-US"/>
              </w:rPr>
              <w:t xml:space="preserve">Will </w:t>
            </w:r>
            <w:r w:rsidR="008E0D4F">
              <w:rPr>
                <w:b/>
                <w:lang w:val="en-US"/>
              </w:rPr>
              <w:t xml:space="preserve">you in your </w:t>
            </w:r>
            <w:r w:rsidRPr="00E64786">
              <w:rPr>
                <w:b/>
                <w:lang w:val="en-US"/>
              </w:rPr>
              <w:t>project, irrespective of countr</w:t>
            </w:r>
            <w:r w:rsidR="008E0D4F">
              <w:rPr>
                <w:b/>
                <w:lang w:val="en-US"/>
              </w:rPr>
              <w:t>y</w:t>
            </w:r>
            <w:r w:rsidRPr="00E64786">
              <w:rPr>
                <w:b/>
                <w:lang w:val="en-US"/>
              </w:rPr>
              <w:t xml:space="preserve">, exchange sensitive information/knowledge/technology as specified in Annex IV of the </w:t>
            </w:r>
            <w:hyperlink r:id="rId8" w:history="1">
              <w:r w:rsidRPr="00E64786">
                <w:rPr>
                  <w:rStyle w:val="Hyperlink"/>
                  <w:b/>
                  <w:lang w:val="en-US"/>
                </w:rPr>
                <w:t>Dual Use regulation</w:t>
              </w:r>
            </w:hyperlink>
            <w:r w:rsidRPr="00E64786">
              <w:rPr>
                <w:b/>
                <w:lang w:val="en-US"/>
              </w:rPr>
              <w:t xml:space="preserve"> (see Annex IV, page 24</w:t>
            </w:r>
            <w:r w:rsidR="00573DEC">
              <w:rPr>
                <w:b/>
                <w:lang w:val="en-US"/>
              </w:rPr>
              <w:t>7</w:t>
            </w:r>
            <w:r w:rsidRPr="00E64786">
              <w:rPr>
                <w:b/>
                <w:lang w:val="en-US"/>
              </w:rPr>
              <w:t>)?</w:t>
            </w:r>
          </w:p>
          <w:p w:rsidR="00FF12C1" w:rsidRPr="00E64786" w:rsidRDefault="00E64786" w:rsidP="00DA776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4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Examples</w:t>
            </w:r>
            <w:r w:rsidR="0080441F" w:rsidRPr="00E64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6758F" w:rsidRPr="00E64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sensitive technologies</w:t>
            </w:r>
            <w:r w:rsidR="00B95ECA" w:rsidRPr="00E64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F12C1" w:rsidRPr="00E64786" w:rsidRDefault="0080441F" w:rsidP="00E64786">
            <w:pPr>
              <w:pStyle w:val="BodyText"/>
              <w:spacing w:after="0"/>
              <w:rPr>
                <w:rFonts w:ascii="Times New Roman" w:hAnsi="Times New Roman" w:cs="Times New Roman"/>
                <w:bCs/>
                <w:color w:val="211D1E"/>
                <w:lang w:val="en-US"/>
              </w:rPr>
            </w:pPr>
            <w:r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lastRenderedPageBreak/>
              <w:t>Stealth technology</w:t>
            </w:r>
            <w:r w:rsidR="00FF12C1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 xml:space="preserve">; </w:t>
            </w:r>
            <w:r w:rsidR="0036758F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>Equipment/devices, specifically designed to, by electrical means, initiate charges and devices containing energetic materials</w:t>
            </w:r>
            <w:r w:rsidR="00FF12C1" w:rsidRPr="00E64786">
              <w:rPr>
                <w:rFonts w:ascii="Times New Roman" w:hAnsi="Times New Roman" w:cs="Times New Roman"/>
                <w:color w:val="211D1E"/>
                <w:lang w:val="en-US"/>
              </w:rPr>
              <w:t>;</w:t>
            </w:r>
            <w:r w:rsidR="006200A3" w:rsidRPr="00E64786">
              <w:rPr>
                <w:rFonts w:ascii="Times New Roman" w:hAnsi="Times New Roman" w:cs="Times New Roman"/>
                <w:color w:val="211D1E"/>
                <w:lang w:val="en-US"/>
              </w:rPr>
              <w:t xml:space="preserve"> </w:t>
            </w:r>
            <w:r w:rsidR="0036758F" w:rsidRPr="00E64786">
              <w:rPr>
                <w:rFonts w:ascii="Times New Roman" w:hAnsi="Times New Roman" w:cs="Times New Roman"/>
                <w:color w:val="211D1E"/>
                <w:lang w:val="en-US"/>
              </w:rPr>
              <w:t>High explosives</w:t>
            </w:r>
            <w:r w:rsidR="006200A3" w:rsidRPr="00E64786">
              <w:rPr>
                <w:rFonts w:ascii="Times New Roman" w:hAnsi="Times New Roman" w:cs="Times New Roman"/>
                <w:color w:val="211D1E"/>
                <w:lang w:val="en-US"/>
              </w:rPr>
              <w:t xml:space="preserve">; </w:t>
            </w:r>
            <w:r w:rsidR="0036758F" w:rsidRPr="00E64786">
              <w:rPr>
                <w:rFonts w:ascii="Times New Roman" w:hAnsi="Times New Roman" w:cs="Times New Roman"/>
                <w:color w:val="211D1E"/>
                <w:lang w:val="en-US"/>
              </w:rPr>
              <w:t>Object detection or location systems</w:t>
            </w:r>
            <w:r w:rsidR="006200A3" w:rsidRPr="00E64786">
              <w:rPr>
                <w:rFonts w:ascii="Times New Roman" w:hAnsi="Times New Roman" w:cs="Times New Roman"/>
                <w:color w:val="211D1E"/>
                <w:lang w:val="en-US"/>
              </w:rPr>
              <w:t xml:space="preserve">; </w:t>
            </w:r>
            <w:r w:rsidR="00047063" w:rsidRPr="00E64786">
              <w:rPr>
                <w:rFonts w:ascii="Times New Roman" w:hAnsi="Times New Roman" w:cs="Times New Roman"/>
                <w:color w:val="211D1E"/>
                <w:lang w:val="en-US"/>
              </w:rPr>
              <w:t>Acoustics</w:t>
            </w:r>
            <w:r w:rsidR="00FF12C1" w:rsidRPr="00E64786">
              <w:rPr>
                <w:rFonts w:ascii="Times New Roman" w:hAnsi="Times New Roman" w:cs="Times New Roman"/>
                <w:color w:val="211D1E"/>
                <w:lang w:val="en-US"/>
              </w:rPr>
              <w:t xml:space="preserve">; </w:t>
            </w:r>
            <w:r w:rsidR="0036758F" w:rsidRPr="00E64786">
              <w:rPr>
                <w:rFonts w:ascii="Times New Roman" w:hAnsi="Times New Roman" w:cs="Times New Roman"/>
                <w:color w:val="211D1E"/>
                <w:lang w:val="en-US"/>
              </w:rPr>
              <w:t>Noise reduction systems</w:t>
            </w:r>
            <w:r w:rsidR="00FF12C1" w:rsidRPr="00E64786">
              <w:rPr>
                <w:rFonts w:ascii="Times New Roman" w:hAnsi="Times New Roman" w:cs="Times New Roman"/>
                <w:color w:val="211D1E"/>
                <w:lang w:val="en-US"/>
              </w:rPr>
              <w:t xml:space="preserve">; </w:t>
            </w:r>
            <w:r w:rsidR="00047063" w:rsidRPr="00E64786">
              <w:rPr>
                <w:rFonts w:ascii="Times New Roman" w:hAnsi="Times New Roman" w:cs="Times New Roman"/>
                <w:color w:val="211D1E"/>
                <w:lang w:val="en-US"/>
              </w:rPr>
              <w:t>Processing equipment for real time application</w:t>
            </w:r>
            <w:r w:rsidR="006200A3" w:rsidRPr="00E64786">
              <w:rPr>
                <w:rFonts w:ascii="Times New Roman" w:hAnsi="Times New Roman" w:cs="Times New Roman"/>
                <w:color w:val="211D1E"/>
                <w:lang w:val="en-US"/>
              </w:rPr>
              <w:t xml:space="preserve">; </w:t>
            </w:r>
            <w:r w:rsidR="00047063" w:rsidRPr="00E64786">
              <w:rPr>
                <w:rFonts w:ascii="Times New Roman" w:hAnsi="Times New Roman" w:cs="Times New Roman"/>
                <w:lang w:val="en-US"/>
              </w:rPr>
              <w:t>Cryptography</w:t>
            </w:r>
            <w:r w:rsidR="00FF12C1" w:rsidRPr="00E64786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FF12C1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>MTCR</w:t>
            </w:r>
            <w:r w:rsidR="00047063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 xml:space="preserve"> technology</w:t>
            </w:r>
            <w:r w:rsidR="00FF12C1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 xml:space="preserve"> (in</w:t>
            </w:r>
            <w:r w:rsid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>c</w:t>
            </w:r>
            <w:r w:rsidR="00FF12C1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 xml:space="preserve">l. </w:t>
            </w:r>
            <w:r w:rsidR="00047063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>guidance sets</w:t>
            </w:r>
            <w:r w:rsidR="00FF12C1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 xml:space="preserve">, </w:t>
            </w:r>
            <w:r w:rsidR="00047063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>rocket propulsion systems</w:t>
            </w:r>
            <w:r w:rsidR="00FF12C1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 xml:space="preserve">, </w:t>
            </w:r>
            <w:r w:rsidR="001D307F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>unmanned aerial vehicles</w:t>
            </w:r>
            <w:r w:rsidR="00FF12C1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>, missil</w:t>
            </w:r>
            <w:r w:rsidR="001D307F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>es</w:t>
            </w:r>
            <w:r w:rsidR="00FF12C1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 xml:space="preserve">, </w:t>
            </w:r>
            <w:r w:rsidR="00047063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>space launch vehicles</w:t>
            </w:r>
            <w:r w:rsidR="00FF12C1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 xml:space="preserve">, </w:t>
            </w:r>
            <w:r w:rsidR="001D307F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>nuclear technology</w:t>
            </w:r>
            <w:r w:rsidR="00FF12C1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 xml:space="preserve"> </w:t>
            </w:r>
            <w:r w:rsidR="00617648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>etc.</w:t>
            </w:r>
            <w:r w:rsidR="00FF12C1" w:rsidRPr="00E64786">
              <w:rPr>
                <w:rFonts w:ascii="Times New Roman" w:hAnsi="Times New Roman" w:cs="Times New Roman"/>
                <w:bCs/>
                <w:color w:val="211D1E"/>
                <w:lang w:val="en-US"/>
              </w:rPr>
              <w:t>)</w:t>
            </w:r>
          </w:p>
        </w:tc>
        <w:tc>
          <w:tcPr>
            <w:tcW w:w="706" w:type="dxa"/>
          </w:tcPr>
          <w:p w:rsidR="00FF12C1" w:rsidRPr="00E64786" w:rsidRDefault="00FF12C1" w:rsidP="00DA776F">
            <w:pPr>
              <w:pStyle w:val="BodyText"/>
              <w:rPr>
                <w:lang w:val="en-US"/>
              </w:rPr>
            </w:pPr>
          </w:p>
        </w:tc>
        <w:tc>
          <w:tcPr>
            <w:tcW w:w="787" w:type="dxa"/>
          </w:tcPr>
          <w:p w:rsidR="00FF12C1" w:rsidRPr="00E64786" w:rsidRDefault="00FF12C1" w:rsidP="00DA776F">
            <w:pPr>
              <w:pStyle w:val="BodyText"/>
              <w:rPr>
                <w:lang w:val="en-US"/>
              </w:rPr>
            </w:pPr>
          </w:p>
        </w:tc>
      </w:tr>
      <w:tr w:rsidR="00FF12C1" w:rsidRPr="00E64786" w:rsidTr="00204762">
        <w:trPr>
          <w:trHeight w:val="1088"/>
        </w:trPr>
        <w:tc>
          <w:tcPr>
            <w:tcW w:w="7625" w:type="dxa"/>
          </w:tcPr>
          <w:p w:rsidR="006A060F" w:rsidRPr="00E64786" w:rsidRDefault="0080441F" w:rsidP="005C0F19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en-US"/>
              </w:rPr>
            </w:pPr>
            <w:r w:rsidRPr="00E6478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Will </w:t>
            </w:r>
            <w:r w:rsidR="008E0D4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you in your</w:t>
            </w:r>
            <w:r w:rsidRPr="00E6478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project exchange information/knowledge/technology which can be used for the development, production or handling of weapons of mass destruction?</w:t>
            </w:r>
          </w:p>
          <w:p w:rsidR="00FF12C1" w:rsidRPr="00E64786" w:rsidRDefault="0080441F" w:rsidP="0080441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64786">
              <w:rPr>
                <w:rFonts w:ascii="Times New Roman" w:hAnsi="Times New Roman" w:cs="Times New Roman"/>
                <w:color w:val="211D1E"/>
                <w:sz w:val="20"/>
                <w:szCs w:val="20"/>
                <w:lang w:val="en-US"/>
              </w:rPr>
              <w:t>For example chemical or biological weapons, nuclear weapons or nuclear explosives or missiles that can carry such weapons?</w:t>
            </w:r>
          </w:p>
        </w:tc>
        <w:tc>
          <w:tcPr>
            <w:tcW w:w="706" w:type="dxa"/>
          </w:tcPr>
          <w:p w:rsidR="00FF12C1" w:rsidRPr="00E64786" w:rsidRDefault="00FF12C1" w:rsidP="00DA776F">
            <w:pPr>
              <w:pStyle w:val="BodyText"/>
              <w:rPr>
                <w:lang w:val="en-US"/>
              </w:rPr>
            </w:pPr>
          </w:p>
        </w:tc>
        <w:tc>
          <w:tcPr>
            <w:tcW w:w="787" w:type="dxa"/>
          </w:tcPr>
          <w:p w:rsidR="00FF12C1" w:rsidRPr="00E64786" w:rsidRDefault="00FF12C1" w:rsidP="00DA776F">
            <w:pPr>
              <w:pStyle w:val="BodyText"/>
              <w:rPr>
                <w:lang w:val="en-US"/>
              </w:rPr>
            </w:pPr>
          </w:p>
        </w:tc>
      </w:tr>
      <w:tr w:rsidR="002F7E4B" w:rsidRPr="00E64786" w:rsidTr="00DE126D">
        <w:trPr>
          <w:trHeight w:val="1088"/>
        </w:trPr>
        <w:tc>
          <w:tcPr>
            <w:tcW w:w="9118" w:type="dxa"/>
            <w:gridSpan w:val="3"/>
          </w:tcPr>
          <w:p w:rsidR="002F7E4B" w:rsidRDefault="002F7E4B" w:rsidP="005C0F1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2F7E4B" w:rsidRDefault="002F7E4B" w:rsidP="005C0F1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Signature</w:t>
            </w:r>
            <w:r w:rsidR="006F00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Principal Investigator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  <w:p w:rsidR="002F7E4B" w:rsidRPr="00E64786" w:rsidRDefault="002F7E4B" w:rsidP="00DA776F">
            <w:pPr>
              <w:pStyle w:val="BodyText"/>
              <w:rPr>
                <w:lang w:val="en-US"/>
              </w:rPr>
            </w:pPr>
          </w:p>
        </w:tc>
      </w:tr>
    </w:tbl>
    <w:p w:rsidR="006F0066" w:rsidRDefault="006F0066"/>
    <w:p w:rsidR="006F0066" w:rsidRDefault="006F0066"/>
    <w:p w:rsidR="00317127" w:rsidRDefault="003171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3594" w:rsidRPr="00013594" w:rsidRDefault="00013594" w:rsidP="00013594">
      <w:pPr>
        <w:spacing w:before="100" w:beforeAutospacing="1" w:after="100" w:afterAutospacing="1"/>
        <w:rPr>
          <w:rFonts w:cs="Calibri"/>
          <w:b/>
          <w:sz w:val="24"/>
          <w:szCs w:val="24"/>
          <w:u w:val="single"/>
          <w:lang w:val="en-US"/>
        </w:rPr>
      </w:pPr>
      <w:r w:rsidRPr="00013594">
        <w:rPr>
          <w:rFonts w:cs="Calibri"/>
          <w:b/>
          <w:sz w:val="24"/>
          <w:szCs w:val="24"/>
          <w:u w:val="single"/>
          <w:lang w:val="en-US"/>
        </w:rPr>
        <w:lastRenderedPageBreak/>
        <w:t>Useful guidelines and links:</w:t>
      </w:r>
    </w:p>
    <w:p w:rsidR="00013594" w:rsidRDefault="00A9453D" w:rsidP="00013594">
      <w:pPr>
        <w:spacing w:before="100" w:beforeAutospacing="1" w:after="100" w:afterAutospacing="1"/>
        <w:rPr>
          <w:rFonts w:cs="Calibri"/>
          <w:lang w:val="en-US"/>
        </w:rPr>
      </w:pPr>
      <w:hyperlink r:id="rId9" w:history="1">
        <w:r w:rsidR="00013594" w:rsidRPr="00494705">
          <w:rPr>
            <w:rStyle w:val="Hyperlink"/>
            <w:rFonts w:cs="Calibri"/>
            <w:lang w:val="en-US"/>
          </w:rPr>
          <w:t>Guidelines for researchers on dual-use and misuse of research</w:t>
        </w:r>
      </w:hyperlink>
      <w:r w:rsidR="00013594">
        <w:rPr>
          <w:rFonts w:cs="Calibri"/>
          <w:lang w:val="en-US"/>
        </w:rPr>
        <w:t xml:space="preserve"> – document produced in a collaboration between five Belgian universities.</w:t>
      </w:r>
    </w:p>
    <w:p w:rsidR="00013594" w:rsidRDefault="00A9453D" w:rsidP="00013594">
      <w:pPr>
        <w:spacing w:before="100" w:beforeAutospacing="1" w:after="100" w:afterAutospacing="1"/>
        <w:rPr>
          <w:rFonts w:cs="Calibri"/>
          <w:lang w:val="en-US"/>
        </w:rPr>
      </w:pPr>
      <w:hyperlink r:id="rId10" w:history="1">
        <w:r w:rsidR="00013594" w:rsidRPr="00646336">
          <w:rPr>
            <w:rStyle w:val="Hyperlink"/>
            <w:rFonts w:cs="Calibri"/>
            <w:lang w:val="en-US"/>
          </w:rPr>
          <w:t>Guidance note: Research involving dual-use items</w:t>
        </w:r>
      </w:hyperlink>
      <w:r w:rsidR="00013594">
        <w:rPr>
          <w:rFonts w:cs="Calibri"/>
          <w:lang w:val="en-US"/>
        </w:rPr>
        <w:t xml:space="preserve"> – short guide from the EU Commission regarding research and dual-use</w:t>
      </w:r>
    </w:p>
    <w:p w:rsidR="00013594" w:rsidRDefault="00A9453D" w:rsidP="00013594">
      <w:pPr>
        <w:spacing w:before="100" w:beforeAutospacing="1" w:after="100" w:afterAutospacing="1"/>
        <w:rPr>
          <w:rFonts w:cs="Calibri"/>
          <w:lang w:val="en-US"/>
        </w:rPr>
      </w:pPr>
      <w:hyperlink r:id="rId11" w:history="1">
        <w:r w:rsidR="00013594" w:rsidRPr="00646336">
          <w:rPr>
            <w:rStyle w:val="Hyperlink"/>
            <w:rFonts w:cs="Calibri"/>
            <w:lang w:val="en-US"/>
          </w:rPr>
          <w:t>Guidance note: Potential misuse of research</w:t>
        </w:r>
      </w:hyperlink>
      <w:r w:rsidR="00013594">
        <w:rPr>
          <w:rFonts w:cs="Calibri"/>
          <w:lang w:val="en-US"/>
        </w:rPr>
        <w:t xml:space="preserve"> – short guide from the EU Commission regarding misuse of research.</w:t>
      </w:r>
    </w:p>
    <w:p w:rsidR="00013594" w:rsidRDefault="00A9453D" w:rsidP="00013594">
      <w:pPr>
        <w:spacing w:before="100" w:beforeAutospacing="1" w:after="100" w:afterAutospacing="1"/>
        <w:rPr>
          <w:rFonts w:cs="Calibri"/>
          <w:lang w:val="en-US"/>
        </w:rPr>
      </w:pPr>
      <w:hyperlink r:id="rId12" w:history="1">
        <w:r w:rsidR="00D077E0" w:rsidRPr="00F70F65">
          <w:rPr>
            <w:rStyle w:val="Hyperlink"/>
            <w:rFonts w:cs="Calibri"/>
            <w:lang w:val="en-US"/>
          </w:rPr>
          <w:t>Export Control in Science and Research</w:t>
        </w:r>
      </w:hyperlink>
      <w:r w:rsidR="00D077E0">
        <w:rPr>
          <w:rFonts w:cs="Calibri"/>
          <w:lang w:val="en-US"/>
        </w:rPr>
        <w:t xml:space="preserve"> and </w:t>
      </w:r>
      <w:hyperlink r:id="rId13" w:history="1">
        <w:r w:rsidR="00D077E0" w:rsidRPr="00F70F65">
          <w:rPr>
            <w:rStyle w:val="Hyperlink"/>
            <w:rFonts w:cs="Calibri"/>
            <w:lang w:val="en-US"/>
          </w:rPr>
          <w:t>Export Control and Academia Manual</w:t>
        </w:r>
      </w:hyperlink>
      <w:r w:rsidR="00D077E0">
        <w:rPr>
          <w:rFonts w:cs="Calibri"/>
          <w:lang w:val="en-US"/>
        </w:rPr>
        <w:t xml:space="preserve"> – two guides produced by German BAF</w:t>
      </w:r>
      <w:r w:rsidR="00013594">
        <w:rPr>
          <w:rFonts w:cs="Calibri"/>
          <w:lang w:val="en-US"/>
        </w:rPr>
        <w:t>A regarding export control, science and research.</w:t>
      </w:r>
    </w:p>
    <w:p w:rsidR="00631932" w:rsidRDefault="00631932" w:rsidP="001842EC">
      <w:pPr>
        <w:spacing w:after="120"/>
        <w:rPr>
          <w:b/>
          <w:sz w:val="24"/>
          <w:szCs w:val="24"/>
          <w:u w:val="single"/>
        </w:rPr>
      </w:pPr>
    </w:p>
    <w:p w:rsidR="006F0066" w:rsidRPr="00FD3A77" w:rsidRDefault="00013594" w:rsidP="001842EC">
      <w:pPr>
        <w:spacing w:after="120"/>
        <w:rPr>
          <w:rStyle w:val="Hyperlink"/>
          <w:i/>
          <w:color w:val="auto"/>
          <w:sz w:val="18"/>
          <w:szCs w:val="18"/>
          <w:u w:val="none"/>
          <w:lang w:val="en-US"/>
        </w:rPr>
      </w:pPr>
      <w:proofErr w:type="spellStart"/>
      <w:r>
        <w:rPr>
          <w:b/>
          <w:sz w:val="24"/>
          <w:szCs w:val="24"/>
          <w:u w:val="single"/>
        </w:rPr>
        <w:t>Structure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of</w:t>
      </w:r>
      <w:proofErr w:type="spellEnd"/>
      <w:r w:rsidR="004163D4" w:rsidRPr="00013594">
        <w:rPr>
          <w:b/>
          <w:sz w:val="24"/>
          <w:szCs w:val="24"/>
          <w:u w:val="single"/>
        </w:rPr>
        <w:t xml:space="preserve"> the </w:t>
      </w:r>
      <w:hyperlink r:id="rId14" w:history="1">
        <w:r w:rsidR="004163D4" w:rsidRPr="00262CF6">
          <w:rPr>
            <w:rStyle w:val="Hyperlink"/>
            <w:b/>
            <w:sz w:val="24"/>
            <w:szCs w:val="24"/>
            <w:lang w:val="en-US"/>
          </w:rPr>
          <w:t>Dual Use regulation</w:t>
        </w:r>
        <w:r w:rsidR="00262CF6" w:rsidRPr="00262CF6">
          <w:rPr>
            <w:rStyle w:val="Hyperlink"/>
            <w:b/>
            <w:sz w:val="24"/>
            <w:szCs w:val="24"/>
            <w:lang w:val="en-US"/>
          </w:rPr>
          <w:t>,</w:t>
        </w:r>
        <w:r w:rsidR="004163D4" w:rsidRPr="00262CF6">
          <w:rPr>
            <w:rStyle w:val="Hyperlink"/>
            <w:b/>
            <w:sz w:val="24"/>
            <w:szCs w:val="24"/>
            <w:lang w:val="en-US"/>
          </w:rPr>
          <w:t xml:space="preserve"> </w:t>
        </w:r>
        <w:r w:rsidR="00262CF6" w:rsidRPr="00262CF6">
          <w:rPr>
            <w:rStyle w:val="Hyperlink"/>
            <w:b/>
            <w:sz w:val="24"/>
            <w:szCs w:val="24"/>
            <w:lang w:val="en-US"/>
          </w:rPr>
          <w:t>Annex I</w:t>
        </w:r>
      </w:hyperlink>
      <w:r w:rsidR="00262CF6" w:rsidRPr="00262CF6">
        <w:rPr>
          <w:rStyle w:val="Hyperlink"/>
          <w:b/>
          <w:color w:val="auto"/>
          <w:sz w:val="24"/>
          <w:szCs w:val="24"/>
          <w:lang w:val="en-US"/>
        </w:rPr>
        <w:t xml:space="preserve"> containing</w:t>
      </w:r>
      <w:r w:rsidR="00262CF6">
        <w:rPr>
          <w:rStyle w:val="Hyperlink"/>
          <w:b/>
          <w:color w:val="auto"/>
          <w:lang w:val="en-US"/>
        </w:rPr>
        <w:t xml:space="preserve"> </w:t>
      </w:r>
      <w:r w:rsidR="00280CCD" w:rsidRPr="00013594">
        <w:rPr>
          <w:rStyle w:val="Hyperlink"/>
          <w:b/>
          <w:color w:val="auto"/>
          <w:sz w:val="24"/>
          <w:szCs w:val="24"/>
          <w:lang w:val="en-US"/>
        </w:rPr>
        <w:t>items with dual use</w:t>
      </w:r>
      <w:r w:rsidR="00FD3A77">
        <w:rPr>
          <w:rStyle w:val="Hyperlink"/>
          <w:b/>
          <w:color w:val="auto"/>
          <w:sz w:val="24"/>
          <w:szCs w:val="24"/>
          <w:lang w:val="en-US"/>
        </w:rPr>
        <w:br/>
      </w:r>
      <w:r w:rsidR="00FD3A77">
        <w:rPr>
          <w:rStyle w:val="Hyperlink"/>
          <w:i/>
          <w:color w:val="auto"/>
          <w:sz w:val="18"/>
          <w:szCs w:val="18"/>
          <w:u w:val="none"/>
          <w:lang w:val="en-US"/>
        </w:rPr>
        <w:t xml:space="preserve">The text below is a translation of the information on the ISP website </w:t>
      </w:r>
      <w:hyperlink r:id="rId15" w:history="1">
        <w:r w:rsidR="00FD3A77" w:rsidRPr="004043DA">
          <w:rPr>
            <w:rStyle w:val="Hyperlink"/>
            <w:i/>
            <w:sz w:val="18"/>
            <w:szCs w:val="18"/>
            <w:lang w:val="en-US"/>
          </w:rPr>
          <w:t>https://isp.se/pda/klassificering-av-produkt-och-teknik/innehall-i-bilaga-i/</w:t>
        </w:r>
      </w:hyperlink>
      <w:r w:rsidR="00FD3A77">
        <w:rPr>
          <w:rStyle w:val="Hyperlink"/>
          <w:i/>
          <w:color w:val="auto"/>
          <w:sz w:val="18"/>
          <w:szCs w:val="18"/>
          <w:u w:val="none"/>
          <w:lang w:val="en-US"/>
        </w:rPr>
        <w:t xml:space="preserve"> </w:t>
      </w:r>
    </w:p>
    <w:p w:rsidR="00280CCD" w:rsidRDefault="00280CCD" w:rsidP="001842EC">
      <w:pPr>
        <w:spacing w:after="120"/>
      </w:pPr>
      <w:r>
        <w:t xml:space="preserve">The Annex 1 to the Dual </w:t>
      </w:r>
      <w:proofErr w:type="spellStart"/>
      <w:r>
        <w:t>use</w:t>
      </w:r>
      <w:proofErr w:type="spellEnd"/>
      <w:r>
        <w:t xml:space="preserve"> </w:t>
      </w:r>
      <w:proofErr w:type="spellStart"/>
      <w:r>
        <w:t>regulation</w:t>
      </w:r>
      <w:proofErr w:type="spellEnd"/>
      <w:r w:rsidR="00EE5D23">
        <w:t xml:space="preserve"> </w:t>
      </w:r>
      <w:proofErr w:type="spellStart"/>
      <w:r w:rsidR="00EE5D23">
        <w:t>contains</w:t>
      </w:r>
      <w:proofErr w:type="spellEnd"/>
      <w:r w:rsidR="00EE5D23">
        <w:t xml:space="preserve"> the</w:t>
      </w:r>
      <w:r>
        <w:t xml:space="preserve"> list </w:t>
      </w:r>
      <w:proofErr w:type="spellStart"/>
      <w:r>
        <w:t>of</w:t>
      </w:r>
      <w:proofErr w:type="spellEnd"/>
      <w:r>
        <w:t xml:space="preserve"> dual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items</w:t>
      </w:r>
      <w:proofErr w:type="spellEnd"/>
      <w:r w:rsidR="002374AC">
        <w:t xml:space="preserve"> (from</w:t>
      </w:r>
      <w:r w:rsidR="001842EC">
        <w:t xml:space="preserve"> </w:t>
      </w:r>
      <w:proofErr w:type="spellStart"/>
      <w:r w:rsidR="001842EC">
        <w:t>pp</w:t>
      </w:r>
      <w:proofErr w:type="spellEnd"/>
      <w:r w:rsidR="002374AC">
        <w:t>.</w:t>
      </w:r>
      <w:r w:rsidR="001842EC">
        <w:t xml:space="preserve"> 3 </w:t>
      </w:r>
      <w:proofErr w:type="spellStart"/>
      <w:r w:rsidR="001842EC">
        <w:t>of</w:t>
      </w:r>
      <w:proofErr w:type="spellEnd"/>
      <w:r w:rsidR="001842EC">
        <w:t xml:space="preserve"> the Dual </w:t>
      </w:r>
      <w:proofErr w:type="spellStart"/>
      <w:r w:rsidR="001842EC">
        <w:t>Use</w:t>
      </w:r>
      <w:proofErr w:type="spellEnd"/>
      <w:r w:rsidR="001842EC">
        <w:t xml:space="preserve"> </w:t>
      </w:r>
      <w:proofErr w:type="spellStart"/>
      <w:r w:rsidR="001842EC">
        <w:t>regulation</w:t>
      </w:r>
      <w:proofErr w:type="spellEnd"/>
      <w:r w:rsidR="002374AC">
        <w:t xml:space="preserve"> </w:t>
      </w:r>
      <w:proofErr w:type="spellStart"/>
      <w:r w:rsidR="002374AC">
        <w:t>link</w:t>
      </w:r>
      <w:proofErr w:type="spellEnd"/>
      <w:r w:rsidR="002374AC">
        <w:t xml:space="preserve"> </w:t>
      </w:r>
      <w:proofErr w:type="spellStart"/>
      <w:r w:rsidR="002374AC">
        <w:t>above</w:t>
      </w:r>
      <w:proofErr w:type="spellEnd"/>
      <w:r w:rsidR="002374AC">
        <w:t>)</w:t>
      </w:r>
      <w:r w:rsidR="00013594">
        <w:t xml:space="preserve"> and is </w:t>
      </w:r>
      <w:proofErr w:type="spellStart"/>
      <w:r w:rsidR="00013594">
        <w:t>structured</w:t>
      </w:r>
      <w:proofErr w:type="spellEnd"/>
      <w:r w:rsidR="00013594">
        <w:t xml:space="preserve"> like </w:t>
      </w:r>
      <w:proofErr w:type="spellStart"/>
      <w:r w:rsidR="00013594">
        <w:t>this</w:t>
      </w:r>
      <w:proofErr w:type="spellEnd"/>
      <w:r w:rsidR="00013594">
        <w:t xml:space="preserve">: </w:t>
      </w:r>
    </w:p>
    <w:p w:rsidR="00280CCD" w:rsidRPr="00EE5D23" w:rsidRDefault="00280CCD" w:rsidP="00EE5D23">
      <w:pPr>
        <w:rPr>
          <w:b/>
          <w:i/>
        </w:rPr>
      </w:pPr>
      <w:proofErr w:type="spellStart"/>
      <w:r w:rsidRPr="00EE5D23">
        <w:rPr>
          <w:b/>
          <w:i/>
        </w:rPr>
        <w:t>Introduction</w:t>
      </w:r>
      <w:proofErr w:type="spellEnd"/>
    </w:p>
    <w:p w:rsidR="00280CCD" w:rsidRPr="00EE5D23" w:rsidRDefault="00280CCD" w:rsidP="00EE5D23">
      <w:pPr>
        <w:ind w:left="284"/>
        <w:rPr>
          <w:i/>
        </w:rPr>
      </w:pPr>
      <w:r w:rsidRPr="00EE5D23">
        <w:rPr>
          <w:i/>
        </w:rPr>
        <w:t>Notes</w:t>
      </w:r>
    </w:p>
    <w:p w:rsidR="00280CCD" w:rsidRPr="00EE5D23" w:rsidRDefault="00280CCD" w:rsidP="00EE5D23">
      <w:pPr>
        <w:ind w:left="284"/>
        <w:rPr>
          <w:i/>
        </w:rPr>
      </w:pPr>
      <w:proofErr w:type="spellStart"/>
      <w:r w:rsidRPr="00EE5D23">
        <w:rPr>
          <w:i/>
        </w:rPr>
        <w:t>Acronyms</w:t>
      </w:r>
      <w:proofErr w:type="spellEnd"/>
      <w:r w:rsidRPr="00EE5D23">
        <w:rPr>
          <w:i/>
        </w:rPr>
        <w:t xml:space="preserve"> and abbreviations</w:t>
      </w:r>
    </w:p>
    <w:p w:rsidR="00280CCD" w:rsidRPr="00EE5D23" w:rsidRDefault="00280CCD" w:rsidP="001842EC">
      <w:pPr>
        <w:spacing w:after="120"/>
        <w:ind w:left="284"/>
        <w:rPr>
          <w:i/>
        </w:rPr>
      </w:pPr>
      <w:r w:rsidRPr="00EE5D23">
        <w:rPr>
          <w:i/>
        </w:rPr>
        <w:t>Definitions</w:t>
      </w:r>
    </w:p>
    <w:p w:rsidR="00EE5D23" w:rsidRPr="00EE5D23" w:rsidRDefault="00EE5D23" w:rsidP="001842EC">
      <w:pPr>
        <w:spacing w:after="120"/>
        <w:rPr>
          <w:b/>
          <w:i/>
        </w:rPr>
      </w:pPr>
      <w:proofErr w:type="spellStart"/>
      <w:r w:rsidRPr="00EE5D23">
        <w:rPr>
          <w:b/>
          <w:i/>
        </w:rPr>
        <w:t>Categories</w:t>
      </w:r>
      <w:proofErr w:type="spellEnd"/>
      <w:r w:rsidRPr="00EE5D23">
        <w:rPr>
          <w:b/>
          <w:i/>
        </w:rPr>
        <w:t xml:space="preserve"> and </w:t>
      </w:r>
      <w:proofErr w:type="spellStart"/>
      <w:r w:rsidRPr="00EE5D23">
        <w:rPr>
          <w:b/>
          <w:i/>
        </w:rPr>
        <w:t>sub-categories</w:t>
      </w:r>
      <w:proofErr w:type="spellEnd"/>
    </w:p>
    <w:p w:rsidR="004D2D20" w:rsidRDefault="00EE5D23">
      <w:r>
        <w:t xml:space="preserve">The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</w:t>
      </w:r>
      <w:r w:rsidR="004D2D20">
        <w:t>(0-9):</w:t>
      </w:r>
    </w:p>
    <w:p w:rsidR="004163D4" w:rsidRPr="003D327E" w:rsidRDefault="004163D4" w:rsidP="00EE5D23">
      <w:pPr>
        <w:spacing w:before="100" w:beforeAutospacing="1" w:after="100" w:afterAutospacing="1"/>
        <w:ind w:left="284"/>
        <w:rPr>
          <w:i/>
        </w:rPr>
      </w:pPr>
      <w:r w:rsidRPr="003D327E">
        <w:rPr>
          <w:rFonts w:cs="Calibri"/>
          <w:i/>
          <w:lang w:val="en-US"/>
        </w:rPr>
        <w:t>0 – Nuclear materials, facilities and equipment, starts on pp. 23</w:t>
      </w:r>
    </w:p>
    <w:p w:rsidR="004163D4" w:rsidRPr="003D327E" w:rsidRDefault="004163D4" w:rsidP="00EE5D23">
      <w:pPr>
        <w:spacing w:before="100" w:beforeAutospacing="1" w:after="100" w:afterAutospacing="1"/>
        <w:ind w:left="284"/>
        <w:rPr>
          <w:i/>
        </w:rPr>
      </w:pPr>
      <w:r w:rsidRPr="003D327E">
        <w:rPr>
          <w:rFonts w:cs="Calibri"/>
          <w:i/>
          <w:lang w:val="en-US"/>
        </w:rPr>
        <w:t>1 – Special materials and related equipment, starts on pp. 33</w:t>
      </w:r>
    </w:p>
    <w:p w:rsidR="004163D4" w:rsidRPr="003D327E" w:rsidRDefault="004163D4" w:rsidP="00EE5D23">
      <w:pPr>
        <w:spacing w:before="100" w:beforeAutospacing="1" w:after="100" w:afterAutospacing="1"/>
        <w:ind w:left="284"/>
        <w:rPr>
          <w:i/>
        </w:rPr>
      </w:pPr>
      <w:r w:rsidRPr="003D327E">
        <w:rPr>
          <w:rFonts w:cs="Calibri"/>
          <w:i/>
          <w:lang w:val="en-US"/>
        </w:rPr>
        <w:t>2 – Materials processing, starts on pp. 72</w:t>
      </w:r>
    </w:p>
    <w:p w:rsidR="004163D4" w:rsidRPr="003D327E" w:rsidRDefault="004163D4" w:rsidP="00EE5D23">
      <w:pPr>
        <w:spacing w:before="100" w:beforeAutospacing="1" w:after="100" w:afterAutospacing="1"/>
        <w:ind w:left="284"/>
        <w:rPr>
          <w:i/>
        </w:rPr>
      </w:pPr>
      <w:r w:rsidRPr="003D327E">
        <w:rPr>
          <w:rFonts w:cs="Calibri"/>
          <w:i/>
          <w:lang w:val="en-US"/>
        </w:rPr>
        <w:t>3 – Electronics, starts on pp. 104</w:t>
      </w:r>
    </w:p>
    <w:p w:rsidR="004163D4" w:rsidRPr="00494705" w:rsidRDefault="004163D4" w:rsidP="00EE5D23">
      <w:pPr>
        <w:spacing w:before="100" w:beforeAutospacing="1" w:after="100" w:afterAutospacing="1"/>
        <w:ind w:left="284"/>
        <w:rPr>
          <w:i/>
        </w:rPr>
      </w:pPr>
      <w:r w:rsidRPr="003D327E">
        <w:rPr>
          <w:rFonts w:cs="Calibri"/>
          <w:i/>
          <w:lang w:val="en-US"/>
        </w:rPr>
        <w:t>4 – Computers, starts on pp. 133</w:t>
      </w:r>
    </w:p>
    <w:p w:rsidR="004163D4" w:rsidRPr="003D327E" w:rsidRDefault="004163D4" w:rsidP="00EE5D23">
      <w:pPr>
        <w:spacing w:before="100" w:beforeAutospacing="1" w:after="100" w:afterAutospacing="1"/>
        <w:ind w:left="284"/>
        <w:rPr>
          <w:i/>
        </w:rPr>
      </w:pPr>
      <w:r w:rsidRPr="003D327E">
        <w:rPr>
          <w:rFonts w:cs="Calibri"/>
          <w:i/>
          <w:iCs/>
          <w:lang w:val="en-US"/>
        </w:rPr>
        <w:t>6 – Sensors and Lasers, you have confirmed is not applicable</w:t>
      </w:r>
    </w:p>
    <w:p w:rsidR="004163D4" w:rsidRPr="003D327E" w:rsidRDefault="004163D4" w:rsidP="00EE5D23">
      <w:pPr>
        <w:spacing w:before="100" w:beforeAutospacing="1" w:after="100" w:afterAutospacing="1"/>
        <w:ind w:left="284"/>
        <w:rPr>
          <w:i/>
        </w:rPr>
      </w:pPr>
      <w:r w:rsidRPr="003D327E">
        <w:rPr>
          <w:rFonts w:cs="Calibri"/>
          <w:i/>
          <w:lang w:val="en-US"/>
        </w:rPr>
        <w:t>7 – Navigation and avionics, starts on pp 192</w:t>
      </w:r>
    </w:p>
    <w:p w:rsidR="004163D4" w:rsidRPr="003D327E" w:rsidRDefault="006B10ED" w:rsidP="00EE5D23">
      <w:pPr>
        <w:spacing w:before="100" w:beforeAutospacing="1" w:after="100" w:afterAutospacing="1"/>
        <w:ind w:left="284"/>
        <w:rPr>
          <w:i/>
        </w:rPr>
      </w:pPr>
      <w:r>
        <w:rPr>
          <w:rFonts w:cs="Calibri"/>
          <w:i/>
          <w:lang w:val="en-US"/>
        </w:rPr>
        <w:t xml:space="preserve">8 – Marine, </w:t>
      </w:r>
      <w:r w:rsidR="004163D4" w:rsidRPr="003D327E">
        <w:rPr>
          <w:rFonts w:cs="Calibri"/>
          <w:i/>
          <w:lang w:val="en-US"/>
        </w:rPr>
        <w:t>starts on pp 204</w:t>
      </w:r>
    </w:p>
    <w:p w:rsidR="004163D4" w:rsidRPr="003D327E" w:rsidRDefault="004163D4" w:rsidP="00EE5D23">
      <w:pPr>
        <w:spacing w:before="100" w:beforeAutospacing="1" w:after="100" w:afterAutospacing="1"/>
        <w:ind w:left="284"/>
        <w:rPr>
          <w:i/>
        </w:rPr>
      </w:pPr>
      <w:r w:rsidRPr="003D327E">
        <w:rPr>
          <w:rFonts w:cs="Calibri"/>
          <w:i/>
          <w:lang w:val="en-US"/>
        </w:rPr>
        <w:t>9 – Aerospace and propulsion, starts on pp 210</w:t>
      </w:r>
    </w:p>
    <w:p w:rsidR="004163D4" w:rsidRDefault="00525B1A">
      <w:proofErr w:type="spellStart"/>
      <w:r>
        <w:t>Each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is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 w:rsidR="00EE5D23">
        <w:t>five</w:t>
      </w:r>
      <w:proofErr w:type="spellEnd"/>
      <w:r>
        <w:t xml:space="preserve"> </w:t>
      </w:r>
      <w:proofErr w:type="spellStart"/>
      <w:r>
        <w:t>sub-categories</w:t>
      </w:r>
      <w:proofErr w:type="spellEnd"/>
      <w:r>
        <w:t>:</w:t>
      </w:r>
    </w:p>
    <w:p w:rsidR="003D327E" w:rsidRPr="003D327E" w:rsidRDefault="003D327E" w:rsidP="00EE5D23">
      <w:pPr>
        <w:spacing w:before="100" w:beforeAutospacing="1" w:after="100" w:afterAutospacing="1"/>
        <w:ind w:left="284"/>
        <w:rPr>
          <w:rFonts w:cs="Calibri"/>
          <w:i/>
          <w:lang w:val="en-US"/>
        </w:rPr>
      </w:pPr>
      <w:r w:rsidRPr="003D327E">
        <w:rPr>
          <w:rFonts w:cs="Calibri"/>
          <w:i/>
          <w:lang w:val="en-US"/>
        </w:rPr>
        <w:t xml:space="preserve">A – Systems, Equipment and Components; </w:t>
      </w:r>
    </w:p>
    <w:p w:rsidR="003D327E" w:rsidRPr="003D327E" w:rsidRDefault="003D327E" w:rsidP="00EE5D23">
      <w:pPr>
        <w:spacing w:before="100" w:beforeAutospacing="1" w:after="100" w:afterAutospacing="1"/>
        <w:ind w:left="284"/>
        <w:rPr>
          <w:rFonts w:cs="Calibri"/>
          <w:i/>
          <w:lang w:val="en-US"/>
        </w:rPr>
      </w:pPr>
      <w:r w:rsidRPr="003D327E">
        <w:rPr>
          <w:rFonts w:cs="Calibri"/>
          <w:i/>
          <w:lang w:val="en-US"/>
        </w:rPr>
        <w:lastRenderedPageBreak/>
        <w:t xml:space="preserve">B – Test, Inspection and production equipment; </w:t>
      </w:r>
    </w:p>
    <w:p w:rsidR="003D327E" w:rsidRPr="003D327E" w:rsidRDefault="003D327E" w:rsidP="00EE5D23">
      <w:pPr>
        <w:spacing w:before="100" w:beforeAutospacing="1" w:after="100" w:afterAutospacing="1"/>
        <w:ind w:left="284"/>
        <w:rPr>
          <w:rFonts w:cs="Calibri"/>
          <w:i/>
          <w:lang w:val="en-US"/>
        </w:rPr>
      </w:pPr>
      <w:r w:rsidRPr="003D327E">
        <w:rPr>
          <w:rFonts w:cs="Calibri"/>
          <w:i/>
          <w:lang w:val="en-US"/>
        </w:rPr>
        <w:t xml:space="preserve">C – Materials; </w:t>
      </w:r>
    </w:p>
    <w:p w:rsidR="003D327E" w:rsidRPr="003D327E" w:rsidRDefault="003D327E" w:rsidP="00EE5D23">
      <w:pPr>
        <w:spacing w:before="100" w:beforeAutospacing="1" w:after="100" w:afterAutospacing="1"/>
        <w:ind w:left="284"/>
        <w:rPr>
          <w:rFonts w:cs="Calibri"/>
          <w:i/>
          <w:lang w:val="en-US"/>
        </w:rPr>
      </w:pPr>
      <w:r w:rsidRPr="003D327E">
        <w:rPr>
          <w:rFonts w:cs="Calibri"/>
          <w:i/>
          <w:lang w:val="en-US"/>
        </w:rPr>
        <w:t xml:space="preserve">D – Software; </w:t>
      </w:r>
    </w:p>
    <w:p w:rsidR="00525B1A" w:rsidRDefault="003D327E" w:rsidP="00EE5D23">
      <w:pPr>
        <w:spacing w:before="100" w:beforeAutospacing="1" w:after="100" w:afterAutospacing="1"/>
        <w:ind w:left="284"/>
        <w:rPr>
          <w:rFonts w:cs="Calibri"/>
          <w:i/>
          <w:lang w:val="en-US"/>
        </w:rPr>
      </w:pPr>
      <w:r>
        <w:rPr>
          <w:rFonts w:cs="Calibri"/>
          <w:i/>
          <w:lang w:val="en-US"/>
        </w:rPr>
        <w:t>E – Technology</w:t>
      </w:r>
    </w:p>
    <w:p w:rsidR="001842EC" w:rsidRDefault="00EE5D23" w:rsidP="001842EC">
      <w:pPr>
        <w:spacing w:before="100" w:beforeAutospacing="1" w:after="120"/>
        <w:rPr>
          <w:rFonts w:cs="Calibri"/>
          <w:b/>
          <w:i/>
          <w:lang w:val="en-US"/>
        </w:rPr>
      </w:pPr>
      <w:r w:rsidRPr="00EE5D23">
        <w:rPr>
          <w:rFonts w:cs="Calibri"/>
          <w:b/>
          <w:i/>
          <w:lang w:val="en-US"/>
        </w:rPr>
        <w:t>Control numbers</w:t>
      </w:r>
    </w:p>
    <w:p w:rsidR="00EE5D23" w:rsidRPr="00EE5D23" w:rsidRDefault="00EE5D23" w:rsidP="001842EC">
      <w:pPr>
        <w:spacing w:after="120"/>
        <w:rPr>
          <w:rFonts w:cs="Calibri"/>
          <w:lang w:val="en-US"/>
        </w:rPr>
      </w:pPr>
      <w:r>
        <w:rPr>
          <w:rFonts w:cs="Calibri"/>
          <w:lang w:val="en-US"/>
        </w:rPr>
        <w:t>Each controlled product has a control number with five</w:t>
      </w:r>
      <w:r w:rsidR="001842EC">
        <w:rPr>
          <w:rFonts w:cs="Calibri"/>
          <w:lang w:val="en-US"/>
        </w:rPr>
        <w:t xml:space="preserve"> positions. The first and second denote which category and sub-category the product belongs to. The third position shows the export control regime that regulates the product – 0 is the </w:t>
      </w:r>
      <w:proofErr w:type="spellStart"/>
      <w:r w:rsidR="001842EC">
        <w:rPr>
          <w:rFonts w:cs="Calibri"/>
          <w:lang w:val="en-US"/>
        </w:rPr>
        <w:t>Wassenaar</w:t>
      </w:r>
      <w:proofErr w:type="spellEnd"/>
      <w:r w:rsidR="001842EC">
        <w:rPr>
          <w:rFonts w:cs="Calibri"/>
          <w:lang w:val="en-US"/>
        </w:rPr>
        <w:t xml:space="preserve"> arrangement (WA), 1 is the Missile technology regime (MTCR), 2 is the Nuclear Suppliers Group (NSG) and 3 is the Australia Group (AG). The fourth and fifth position is the serial number. </w:t>
      </w:r>
    </w:p>
    <w:p w:rsidR="00013594" w:rsidRDefault="00013594">
      <w:pPr>
        <w:spacing w:before="100" w:beforeAutospacing="1" w:after="100" w:afterAutospacing="1"/>
        <w:rPr>
          <w:rFonts w:cs="Calibri"/>
          <w:lang w:val="en-US"/>
        </w:rPr>
      </w:pPr>
      <w:r>
        <w:rPr>
          <w:rFonts w:cs="Calibri"/>
          <w:lang w:val="en-US"/>
        </w:rPr>
        <w:t>Example: 3A001</w:t>
      </w:r>
    </w:p>
    <w:p w:rsidR="00013594" w:rsidRDefault="00013594">
      <w:pPr>
        <w:spacing w:before="100" w:beforeAutospacing="1" w:after="100" w:afterAutospacing="1"/>
        <w:rPr>
          <w:rFonts w:cs="Calibri"/>
          <w:lang w:val="en-US"/>
        </w:rPr>
      </w:pPr>
      <w:r>
        <w:rPr>
          <w:rFonts w:cs="Calibri"/>
          <w:lang w:val="en-US"/>
        </w:rPr>
        <w:t xml:space="preserve">Explanation: 3 = Electronics, </w:t>
      </w:r>
      <w:r w:rsidR="00EA6510">
        <w:rPr>
          <w:rFonts w:cs="Calibri"/>
          <w:lang w:val="en-US"/>
        </w:rPr>
        <w:t>A</w:t>
      </w:r>
      <w:r>
        <w:rPr>
          <w:rFonts w:cs="Calibri"/>
          <w:lang w:val="en-US"/>
        </w:rPr>
        <w:t xml:space="preserve"> = </w:t>
      </w:r>
      <w:r w:rsidR="00EA6510">
        <w:rPr>
          <w:rFonts w:cs="Calibri"/>
          <w:lang w:val="en-US"/>
        </w:rPr>
        <w:t>Systems, Equipment and Components</w:t>
      </w:r>
      <w:r>
        <w:rPr>
          <w:rFonts w:cs="Calibri"/>
          <w:lang w:val="en-US"/>
        </w:rPr>
        <w:t>, 0 = WA, 01 = Serial number.</w:t>
      </w:r>
    </w:p>
    <w:p w:rsidR="00013594" w:rsidRDefault="00013594" w:rsidP="00013594">
      <w:pPr>
        <w:spacing w:before="100" w:beforeAutospacing="1" w:after="120"/>
        <w:rPr>
          <w:rFonts w:cs="Calibri"/>
          <w:b/>
          <w:i/>
          <w:lang w:val="en-US"/>
        </w:rPr>
      </w:pPr>
      <w:r>
        <w:rPr>
          <w:rFonts w:cs="Calibri"/>
          <w:b/>
          <w:i/>
          <w:lang w:val="en-US"/>
        </w:rPr>
        <w:t>Definitions and notes</w:t>
      </w:r>
    </w:p>
    <w:p w:rsidR="00013594" w:rsidRPr="00013594" w:rsidRDefault="00013594" w:rsidP="00013594">
      <w:pPr>
        <w:spacing w:after="120"/>
        <w:rPr>
          <w:rFonts w:cs="Calibri"/>
          <w:lang w:val="en-US"/>
        </w:rPr>
      </w:pPr>
      <w:r>
        <w:rPr>
          <w:rFonts w:cs="Calibri"/>
          <w:lang w:val="en-US"/>
        </w:rPr>
        <w:t>When going through the dual use l</w:t>
      </w:r>
      <w:r w:rsidR="00FD3A77">
        <w:rPr>
          <w:rFonts w:cs="Calibri"/>
          <w:lang w:val="en-US"/>
        </w:rPr>
        <w:t>ist it is important to read</w:t>
      </w:r>
      <w:r>
        <w:rPr>
          <w:rFonts w:cs="Calibri"/>
          <w:lang w:val="en-US"/>
        </w:rPr>
        <w:t xml:space="preserve"> the definitions and notes.</w:t>
      </w:r>
      <w:r w:rsidR="00FD3A77">
        <w:rPr>
          <w:rFonts w:cs="Calibri"/>
          <w:lang w:val="en-US"/>
        </w:rPr>
        <w:t xml:space="preserve"> Definitions between ‘single quotation marks’ can be found in the technical notes below the control number of a product. Definitions between “double quotation marks” can be found in the introduction to the dual use list (Annex I).</w:t>
      </w:r>
    </w:p>
    <w:sectPr w:rsidR="00013594" w:rsidRPr="00013594" w:rsidSect="003C5BD0">
      <w:footerReference w:type="default" r:id="rId16"/>
      <w:headerReference w:type="first" r:id="rId17"/>
      <w:footerReference w:type="first" r:id="rId18"/>
      <w:pgSz w:w="11906" w:h="16838" w:code="9"/>
      <w:pgMar w:top="2381" w:right="1304" w:bottom="1474" w:left="147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3D" w:rsidRDefault="00A9453D" w:rsidP="00AB37AC">
      <w:r>
        <w:separator/>
      </w:r>
    </w:p>
  </w:endnote>
  <w:endnote w:type="continuationSeparator" w:id="0">
    <w:p w:rsidR="00A9453D" w:rsidRDefault="00A9453D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E77EA6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E77EA6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E77EA6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E77EA6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3D" w:rsidRDefault="00A9453D" w:rsidP="00AB37AC">
      <w:r>
        <w:separator/>
      </w:r>
    </w:p>
  </w:footnote>
  <w:footnote w:type="continuationSeparator" w:id="0">
    <w:p w:rsidR="00A9453D" w:rsidRDefault="00A9453D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71FB40CD" wp14:editId="4EF1E292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Pr="00B75534" w:rsidRDefault="00A011CC" w:rsidP="003C5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3CE716B"/>
    <w:multiLevelType w:val="hybridMultilevel"/>
    <w:tmpl w:val="E0165950"/>
    <w:lvl w:ilvl="0" w:tplc="65865FDC">
      <w:start w:val="4"/>
      <w:numFmt w:val="bullet"/>
      <w:lvlText w:val="-"/>
      <w:lvlJc w:val="left"/>
      <w:pPr>
        <w:ind w:left="972" w:hanging="360"/>
      </w:pPr>
      <w:rPr>
        <w:rFonts w:ascii="Georgia" w:eastAsiaTheme="minorHAnsi" w:hAnsi="Georgia" w:cs="Calibri" w:hint="default"/>
      </w:rPr>
    </w:lvl>
    <w:lvl w:ilvl="1" w:tplc="041D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C1"/>
    <w:rsid w:val="00013594"/>
    <w:rsid w:val="00033473"/>
    <w:rsid w:val="00037A26"/>
    <w:rsid w:val="00045C78"/>
    <w:rsid w:val="00047063"/>
    <w:rsid w:val="000629A5"/>
    <w:rsid w:val="000A05C7"/>
    <w:rsid w:val="000B4D37"/>
    <w:rsid w:val="000B65BF"/>
    <w:rsid w:val="000F0D78"/>
    <w:rsid w:val="00110347"/>
    <w:rsid w:val="00133D0A"/>
    <w:rsid w:val="001530A9"/>
    <w:rsid w:val="001621F9"/>
    <w:rsid w:val="00162E0A"/>
    <w:rsid w:val="0018134F"/>
    <w:rsid w:val="00182906"/>
    <w:rsid w:val="001842EC"/>
    <w:rsid w:val="0018642A"/>
    <w:rsid w:val="001960DE"/>
    <w:rsid w:val="001B1D62"/>
    <w:rsid w:val="001D307F"/>
    <w:rsid w:val="001E1B5E"/>
    <w:rsid w:val="001E5EBC"/>
    <w:rsid w:val="001E7B90"/>
    <w:rsid w:val="001F2064"/>
    <w:rsid w:val="001F3547"/>
    <w:rsid w:val="002005E3"/>
    <w:rsid w:val="00200EAB"/>
    <w:rsid w:val="00204762"/>
    <w:rsid w:val="00205B57"/>
    <w:rsid w:val="002179BC"/>
    <w:rsid w:val="002374AC"/>
    <w:rsid w:val="00262CF6"/>
    <w:rsid w:val="002749BA"/>
    <w:rsid w:val="00280CCD"/>
    <w:rsid w:val="00296E9E"/>
    <w:rsid w:val="002A115A"/>
    <w:rsid w:val="002A1E8C"/>
    <w:rsid w:val="002E47D4"/>
    <w:rsid w:val="002F1E19"/>
    <w:rsid w:val="002F7E4B"/>
    <w:rsid w:val="00310604"/>
    <w:rsid w:val="00312145"/>
    <w:rsid w:val="00317127"/>
    <w:rsid w:val="00326A21"/>
    <w:rsid w:val="003309E7"/>
    <w:rsid w:val="00354E81"/>
    <w:rsid w:val="0036758F"/>
    <w:rsid w:val="0037739C"/>
    <w:rsid w:val="00383258"/>
    <w:rsid w:val="003A221F"/>
    <w:rsid w:val="003B55F6"/>
    <w:rsid w:val="003C5BD0"/>
    <w:rsid w:val="003C5C7A"/>
    <w:rsid w:val="003D327E"/>
    <w:rsid w:val="003D5E50"/>
    <w:rsid w:val="003E1C90"/>
    <w:rsid w:val="003F0FAA"/>
    <w:rsid w:val="003F35E7"/>
    <w:rsid w:val="003F6BF6"/>
    <w:rsid w:val="004163D4"/>
    <w:rsid w:val="00442247"/>
    <w:rsid w:val="00444173"/>
    <w:rsid w:val="00472EDE"/>
    <w:rsid w:val="00484AB4"/>
    <w:rsid w:val="00494705"/>
    <w:rsid w:val="004A0180"/>
    <w:rsid w:val="004A24BC"/>
    <w:rsid w:val="004A3440"/>
    <w:rsid w:val="004C316C"/>
    <w:rsid w:val="004D2D20"/>
    <w:rsid w:val="004D4D49"/>
    <w:rsid w:val="005027B6"/>
    <w:rsid w:val="00505ED2"/>
    <w:rsid w:val="00516DE4"/>
    <w:rsid w:val="00523FF5"/>
    <w:rsid w:val="00525B1A"/>
    <w:rsid w:val="00535867"/>
    <w:rsid w:val="005459BB"/>
    <w:rsid w:val="00545ABA"/>
    <w:rsid w:val="00547786"/>
    <w:rsid w:val="00547E65"/>
    <w:rsid w:val="00573DEC"/>
    <w:rsid w:val="0057553D"/>
    <w:rsid w:val="00593B28"/>
    <w:rsid w:val="005B1B51"/>
    <w:rsid w:val="005C0F19"/>
    <w:rsid w:val="005D138A"/>
    <w:rsid w:val="00611DEC"/>
    <w:rsid w:val="00617648"/>
    <w:rsid w:val="006200A3"/>
    <w:rsid w:val="00627E64"/>
    <w:rsid w:val="00631932"/>
    <w:rsid w:val="00646336"/>
    <w:rsid w:val="006574CC"/>
    <w:rsid w:val="00687CDC"/>
    <w:rsid w:val="00692949"/>
    <w:rsid w:val="00695DCE"/>
    <w:rsid w:val="006A060F"/>
    <w:rsid w:val="006A6C43"/>
    <w:rsid w:val="006A7494"/>
    <w:rsid w:val="006B10ED"/>
    <w:rsid w:val="006C3154"/>
    <w:rsid w:val="006C38B5"/>
    <w:rsid w:val="006C5791"/>
    <w:rsid w:val="006F0066"/>
    <w:rsid w:val="006F0D93"/>
    <w:rsid w:val="00712D38"/>
    <w:rsid w:val="00730430"/>
    <w:rsid w:val="00764F98"/>
    <w:rsid w:val="007835A7"/>
    <w:rsid w:val="00786C63"/>
    <w:rsid w:val="007871DE"/>
    <w:rsid w:val="00792464"/>
    <w:rsid w:val="007B03F4"/>
    <w:rsid w:val="007E551B"/>
    <w:rsid w:val="007F3C19"/>
    <w:rsid w:val="007F67AA"/>
    <w:rsid w:val="0080441F"/>
    <w:rsid w:val="00825507"/>
    <w:rsid w:val="008378A5"/>
    <w:rsid w:val="008408F1"/>
    <w:rsid w:val="00863257"/>
    <w:rsid w:val="00873303"/>
    <w:rsid w:val="00877FAC"/>
    <w:rsid w:val="008815CA"/>
    <w:rsid w:val="008822FA"/>
    <w:rsid w:val="008A6789"/>
    <w:rsid w:val="008C0669"/>
    <w:rsid w:val="008D16BD"/>
    <w:rsid w:val="008E0D4F"/>
    <w:rsid w:val="008E4593"/>
    <w:rsid w:val="00916344"/>
    <w:rsid w:val="00922FFA"/>
    <w:rsid w:val="0092564D"/>
    <w:rsid w:val="009361E7"/>
    <w:rsid w:val="00944871"/>
    <w:rsid w:val="009578ED"/>
    <w:rsid w:val="0096544C"/>
    <w:rsid w:val="00973688"/>
    <w:rsid w:val="00981197"/>
    <w:rsid w:val="009A3428"/>
    <w:rsid w:val="009A59C3"/>
    <w:rsid w:val="009B1988"/>
    <w:rsid w:val="009E4CED"/>
    <w:rsid w:val="00A011CC"/>
    <w:rsid w:val="00A37248"/>
    <w:rsid w:val="00A506FD"/>
    <w:rsid w:val="00A53278"/>
    <w:rsid w:val="00A5694A"/>
    <w:rsid w:val="00A71121"/>
    <w:rsid w:val="00A77340"/>
    <w:rsid w:val="00A833EA"/>
    <w:rsid w:val="00A9453D"/>
    <w:rsid w:val="00AA3946"/>
    <w:rsid w:val="00AB37AC"/>
    <w:rsid w:val="00AB5D2D"/>
    <w:rsid w:val="00AB65B9"/>
    <w:rsid w:val="00AC0C3C"/>
    <w:rsid w:val="00AC4ADA"/>
    <w:rsid w:val="00AE299D"/>
    <w:rsid w:val="00AF0371"/>
    <w:rsid w:val="00B02309"/>
    <w:rsid w:val="00B310E1"/>
    <w:rsid w:val="00B411DA"/>
    <w:rsid w:val="00B5121A"/>
    <w:rsid w:val="00B90528"/>
    <w:rsid w:val="00B92CD3"/>
    <w:rsid w:val="00B95ECA"/>
    <w:rsid w:val="00BC64D7"/>
    <w:rsid w:val="00BD10EE"/>
    <w:rsid w:val="00BE4F2E"/>
    <w:rsid w:val="00BF727C"/>
    <w:rsid w:val="00C06690"/>
    <w:rsid w:val="00C212C8"/>
    <w:rsid w:val="00C46B7C"/>
    <w:rsid w:val="00C46FE0"/>
    <w:rsid w:val="00C65034"/>
    <w:rsid w:val="00C7614F"/>
    <w:rsid w:val="00C87FA2"/>
    <w:rsid w:val="00C95EAE"/>
    <w:rsid w:val="00CC3E24"/>
    <w:rsid w:val="00CE4E60"/>
    <w:rsid w:val="00D077E0"/>
    <w:rsid w:val="00D2245B"/>
    <w:rsid w:val="00D25A7A"/>
    <w:rsid w:val="00D3481F"/>
    <w:rsid w:val="00D73C5A"/>
    <w:rsid w:val="00D74DE2"/>
    <w:rsid w:val="00E179F1"/>
    <w:rsid w:val="00E220DD"/>
    <w:rsid w:val="00E301A3"/>
    <w:rsid w:val="00E4124C"/>
    <w:rsid w:val="00E61ED9"/>
    <w:rsid w:val="00E64786"/>
    <w:rsid w:val="00E77EA6"/>
    <w:rsid w:val="00EA6510"/>
    <w:rsid w:val="00EB07F4"/>
    <w:rsid w:val="00EB1D22"/>
    <w:rsid w:val="00EB22FD"/>
    <w:rsid w:val="00EC002C"/>
    <w:rsid w:val="00EE58D8"/>
    <w:rsid w:val="00EE5D23"/>
    <w:rsid w:val="00EF1D64"/>
    <w:rsid w:val="00F16D9B"/>
    <w:rsid w:val="00F344AD"/>
    <w:rsid w:val="00F57388"/>
    <w:rsid w:val="00F608CC"/>
    <w:rsid w:val="00F631A1"/>
    <w:rsid w:val="00F87ADA"/>
    <w:rsid w:val="00F91257"/>
    <w:rsid w:val="00F94E56"/>
    <w:rsid w:val="00FA2711"/>
    <w:rsid w:val="00FC5FBC"/>
    <w:rsid w:val="00FD3A77"/>
    <w:rsid w:val="00FE3A70"/>
    <w:rsid w:val="00FF12C1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E8479-949D-484C-A048-F3ECD5C3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12C1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2C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2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1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PDF/?uri=CELEX:32019R2199&amp;qid=1579618429796&amp;from=EN" TargetMode="External"/><Relationship Id="rId13" Type="http://schemas.openxmlformats.org/officeDocument/2006/relationships/hyperlink" Target="https://www.bafa.de/EN/Foreign_Trade/Export_Control/Export_Control_and_Academia/export_control_academia.html?nn=8065706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TXT/PDF/?uri=CELEX:32019R2199&amp;qid=1579618429796&amp;from=EN" TargetMode="External"/><Relationship Id="rId12" Type="http://schemas.openxmlformats.org/officeDocument/2006/relationships/hyperlink" Target="https://www.bafa.de/EN/Foreign_Trade/Export_Control/Export_Control_and_Academia/export_control_academia.html?nn=806570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research/participants/data/ref/h2020/other/hi/guide_research-misuse_e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p.se/pda/klassificering-av-produkt-och-teknik/innehall-i-bilaga-i/" TargetMode="External"/><Relationship Id="rId10" Type="http://schemas.openxmlformats.org/officeDocument/2006/relationships/hyperlink" Target="https://ec.europa.eu/research/participants/data/ref/h2020/other/hi/guide_research-dual-use_en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dfa.be/sites/default/files/atoms/files/2017VLIR003_FolderOnderzoek_EN_DEF_20180212.pdf" TargetMode="External"/><Relationship Id="rId14" Type="http://schemas.openxmlformats.org/officeDocument/2006/relationships/hyperlink" Target="https://eur-lex.europa.eu/legal-content/EN/TXT/PDF/?uri=CELEX:32019R2199&amp;qid=1579618429796&amp;from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4</Pages>
  <Words>1008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Christelle Bourquin</dc:creator>
  <cp:lastModifiedBy>Marianne Loor</cp:lastModifiedBy>
  <cp:revision>2</cp:revision>
  <dcterms:created xsi:type="dcterms:W3CDTF">2020-09-08T20:58:00Z</dcterms:created>
  <dcterms:modified xsi:type="dcterms:W3CDTF">2020-09-08T20:58:00Z</dcterms:modified>
</cp:coreProperties>
</file>